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EC781" w14:textId="77777777" w:rsidR="00066B96" w:rsidRDefault="00066B96" w:rsidP="00066B96">
      <w:pPr>
        <w:jc w:val="center"/>
        <w:rPr>
          <w:rFonts w:ascii="Times" w:hAnsi="Times"/>
        </w:rPr>
      </w:pPr>
    </w:p>
    <w:p w14:paraId="625B41CD" w14:textId="77777777" w:rsidR="00066B96" w:rsidRDefault="00066B96" w:rsidP="00066B96">
      <w:pPr>
        <w:jc w:val="center"/>
        <w:rPr>
          <w:rFonts w:ascii="Times" w:hAnsi="Times"/>
        </w:rPr>
      </w:pPr>
    </w:p>
    <w:p w14:paraId="0B7DA7BE" w14:textId="77777777" w:rsidR="00066B96" w:rsidRDefault="00066B96" w:rsidP="00066B96">
      <w:pPr>
        <w:jc w:val="center"/>
        <w:rPr>
          <w:rFonts w:ascii="Times" w:hAnsi="Times"/>
        </w:rPr>
      </w:pPr>
    </w:p>
    <w:p w14:paraId="7AD7A0EA" w14:textId="77777777" w:rsidR="00066B96" w:rsidRDefault="00066B96" w:rsidP="00066B96">
      <w:pPr>
        <w:jc w:val="center"/>
        <w:rPr>
          <w:rFonts w:ascii="Times" w:hAnsi="Times"/>
        </w:rPr>
      </w:pPr>
    </w:p>
    <w:p w14:paraId="238BEA36" w14:textId="77777777" w:rsidR="00066B96" w:rsidRDefault="00066B96" w:rsidP="00066B96">
      <w:pPr>
        <w:jc w:val="center"/>
        <w:rPr>
          <w:rFonts w:ascii="Times" w:hAnsi="Times"/>
        </w:rPr>
      </w:pPr>
    </w:p>
    <w:p w14:paraId="52C73E9B" w14:textId="77777777" w:rsidR="00066B96" w:rsidRDefault="00066B96" w:rsidP="00066B96">
      <w:pPr>
        <w:jc w:val="center"/>
        <w:rPr>
          <w:rFonts w:ascii="Times" w:hAnsi="Times"/>
        </w:rPr>
      </w:pPr>
    </w:p>
    <w:p w14:paraId="2B6F9493" w14:textId="77777777" w:rsidR="00066B96" w:rsidRDefault="00066B96" w:rsidP="00066B96">
      <w:pPr>
        <w:jc w:val="center"/>
        <w:rPr>
          <w:rFonts w:ascii="Times" w:hAnsi="Times"/>
        </w:rPr>
      </w:pPr>
    </w:p>
    <w:p w14:paraId="06A31FC4" w14:textId="77777777" w:rsidR="00066B96" w:rsidRDefault="00066B96" w:rsidP="00066B96">
      <w:pPr>
        <w:jc w:val="center"/>
        <w:rPr>
          <w:rFonts w:ascii="Times" w:hAnsi="Times"/>
        </w:rPr>
      </w:pPr>
    </w:p>
    <w:p w14:paraId="7D064666" w14:textId="77777777" w:rsidR="00066B96" w:rsidRDefault="00066B96" w:rsidP="00066B96">
      <w:pPr>
        <w:jc w:val="center"/>
        <w:rPr>
          <w:rFonts w:ascii="Times" w:hAnsi="Times"/>
        </w:rPr>
      </w:pPr>
    </w:p>
    <w:p w14:paraId="29759744" w14:textId="77777777" w:rsidR="00066B96" w:rsidRDefault="00066B96" w:rsidP="00066B96">
      <w:pPr>
        <w:jc w:val="center"/>
        <w:rPr>
          <w:rFonts w:ascii="Times" w:hAnsi="Times"/>
        </w:rPr>
      </w:pPr>
    </w:p>
    <w:p w14:paraId="60194D39" w14:textId="77777777" w:rsidR="00066B96" w:rsidRDefault="00066B96" w:rsidP="00066B96">
      <w:pPr>
        <w:jc w:val="center"/>
        <w:rPr>
          <w:rFonts w:ascii="Times" w:hAnsi="Times"/>
        </w:rPr>
      </w:pPr>
    </w:p>
    <w:p w14:paraId="38945A8F" w14:textId="77777777" w:rsidR="00066B96" w:rsidRDefault="00066B96" w:rsidP="00066B96">
      <w:pPr>
        <w:jc w:val="center"/>
        <w:rPr>
          <w:rFonts w:ascii="Times" w:hAnsi="Times"/>
        </w:rPr>
      </w:pPr>
    </w:p>
    <w:p w14:paraId="261B4BCC" w14:textId="77777777" w:rsidR="00066B96" w:rsidRDefault="00066B96" w:rsidP="00066B96">
      <w:pPr>
        <w:jc w:val="center"/>
        <w:rPr>
          <w:rFonts w:ascii="Times" w:hAnsi="Times"/>
        </w:rPr>
      </w:pPr>
    </w:p>
    <w:p w14:paraId="71588CF3" w14:textId="77777777" w:rsidR="00066B96" w:rsidRDefault="00066B96" w:rsidP="00066B96">
      <w:pPr>
        <w:jc w:val="center"/>
        <w:rPr>
          <w:rFonts w:ascii="Times" w:hAnsi="Times"/>
        </w:rPr>
      </w:pPr>
    </w:p>
    <w:p w14:paraId="0F964EE0" w14:textId="77777777" w:rsidR="00066B96" w:rsidRDefault="00066B96" w:rsidP="00066B96">
      <w:pPr>
        <w:jc w:val="center"/>
        <w:rPr>
          <w:rFonts w:ascii="Times" w:hAnsi="Times"/>
        </w:rPr>
      </w:pPr>
    </w:p>
    <w:p w14:paraId="4336E621" w14:textId="77777777" w:rsidR="00066B96" w:rsidRDefault="00066B96" w:rsidP="00066B96">
      <w:pPr>
        <w:jc w:val="center"/>
        <w:rPr>
          <w:rFonts w:ascii="Times" w:hAnsi="Times"/>
        </w:rPr>
      </w:pPr>
    </w:p>
    <w:p w14:paraId="2086214A" w14:textId="77777777" w:rsidR="00066B96" w:rsidRDefault="00066B96" w:rsidP="00066B96">
      <w:pPr>
        <w:jc w:val="center"/>
        <w:rPr>
          <w:rFonts w:ascii="Times" w:hAnsi="Times"/>
        </w:rPr>
      </w:pPr>
    </w:p>
    <w:p w14:paraId="2B5C0F98" w14:textId="77777777" w:rsidR="00066B96" w:rsidRDefault="00066B96" w:rsidP="00066B96">
      <w:pPr>
        <w:jc w:val="center"/>
        <w:rPr>
          <w:rFonts w:ascii="Times" w:hAnsi="Times"/>
        </w:rPr>
      </w:pPr>
    </w:p>
    <w:p w14:paraId="557FE6CD" w14:textId="77777777" w:rsidR="00066B96" w:rsidRDefault="00066B96" w:rsidP="00066B96">
      <w:pPr>
        <w:jc w:val="center"/>
        <w:rPr>
          <w:rFonts w:ascii="Times" w:hAnsi="Times"/>
          <w:sz w:val="28"/>
          <w:szCs w:val="28"/>
        </w:rPr>
      </w:pPr>
      <w:r w:rsidRPr="00066B96">
        <w:rPr>
          <w:rFonts w:ascii="Times" w:hAnsi="Times"/>
          <w:sz w:val="28"/>
          <w:szCs w:val="28"/>
        </w:rPr>
        <w:t xml:space="preserve">Model 303 Creative LL v. </w:t>
      </w:r>
      <w:proofErr w:type="spellStart"/>
      <w:r w:rsidRPr="00066B96">
        <w:rPr>
          <w:rFonts w:ascii="Times" w:hAnsi="Times"/>
          <w:sz w:val="28"/>
          <w:szCs w:val="28"/>
        </w:rPr>
        <w:t>Elenis</w:t>
      </w:r>
      <w:proofErr w:type="spellEnd"/>
      <w:r w:rsidRPr="00066B96">
        <w:rPr>
          <w:rFonts w:ascii="Times" w:hAnsi="Times"/>
          <w:sz w:val="28"/>
          <w:szCs w:val="28"/>
        </w:rPr>
        <w:t xml:space="preserve"> Opinion</w:t>
      </w:r>
    </w:p>
    <w:p w14:paraId="18A77C30" w14:textId="77777777" w:rsidR="00066B96" w:rsidRDefault="00066B96" w:rsidP="00066B96">
      <w:pPr>
        <w:jc w:val="center"/>
        <w:rPr>
          <w:rFonts w:ascii="Times" w:hAnsi="Times"/>
          <w:sz w:val="28"/>
          <w:szCs w:val="28"/>
        </w:rPr>
      </w:pPr>
    </w:p>
    <w:p w14:paraId="6C39C813" w14:textId="77777777" w:rsidR="00066B96" w:rsidRDefault="00066B96" w:rsidP="00066B96">
      <w:pPr>
        <w:jc w:val="center"/>
        <w:rPr>
          <w:rFonts w:ascii="Times" w:hAnsi="Times"/>
          <w:sz w:val="28"/>
          <w:szCs w:val="28"/>
        </w:rPr>
      </w:pPr>
    </w:p>
    <w:p w14:paraId="1F5770E0" w14:textId="77777777" w:rsidR="00066B96" w:rsidRDefault="00066B96" w:rsidP="00066B96">
      <w:pPr>
        <w:jc w:val="center"/>
        <w:rPr>
          <w:rFonts w:ascii="Times" w:hAnsi="Times"/>
          <w:sz w:val="28"/>
          <w:szCs w:val="28"/>
        </w:rPr>
      </w:pPr>
    </w:p>
    <w:p w14:paraId="7BED8BAA" w14:textId="77777777" w:rsidR="00066B96" w:rsidRDefault="00066B96" w:rsidP="00066B96">
      <w:pPr>
        <w:jc w:val="center"/>
        <w:rPr>
          <w:rFonts w:ascii="Times" w:hAnsi="Times"/>
          <w:sz w:val="28"/>
          <w:szCs w:val="28"/>
        </w:rPr>
      </w:pPr>
    </w:p>
    <w:p w14:paraId="7D8B41BA" w14:textId="77777777" w:rsidR="00066B96" w:rsidRDefault="00066B96" w:rsidP="00066B96">
      <w:pPr>
        <w:jc w:val="center"/>
        <w:rPr>
          <w:rFonts w:ascii="Times" w:hAnsi="Times"/>
          <w:sz w:val="28"/>
          <w:szCs w:val="28"/>
        </w:rPr>
      </w:pPr>
    </w:p>
    <w:p w14:paraId="14148DBB" w14:textId="77777777" w:rsidR="00066B96" w:rsidRDefault="00066B96" w:rsidP="00066B96">
      <w:pPr>
        <w:jc w:val="center"/>
        <w:rPr>
          <w:rFonts w:ascii="Times" w:hAnsi="Times"/>
          <w:sz w:val="28"/>
          <w:szCs w:val="28"/>
        </w:rPr>
      </w:pPr>
    </w:p>
    <w:p w14:paraId="33C93BF5" w14:textId="77777777" w:rsidR="00066B96" w:rsidRDefault="00066B96" w:rsidP="00066B96">
      <w:pPr>
        <w:jc w:val="center"/>
        <w:rPr>
          <w:rFonts w:ascii="Times" w:hAnsi="Times"/>
        </w:rPr>
      </w:pPr>
      <w:r>
        <w:rPr>
          <w:rFonts w:ascii="Times" w:hAnsi="Times"/>
        </w:rPr>
        <w:t>Michael A. Westbrook</w:t>
      </w:r>
    </w:p>
    <w:p w14:paraId="20415D3E" w14:textId="77777777" w:rsidR="00F25031" w:rsidRDefault="00066B96" w:rsidP="00066B96">
      <w:pPr>
        <w:jc w:val="center"/>
        <w:rPr>
          <w:rFonts w:ascii="Times" w:hAnsi="Times"/>
        </w:rPr>
      </w:pPr>
      <w:r>
        <w:rPr>
          <w:rFonts w:ascii="Times" w:hAnsi="Times"/>
        </w:rPr>
        <w:t>Boston University School of Law</w:t>
      </w:r>
    </w:p>
    <w:p w14:paraId="303FDF93" w14:textId="77777777" w:rsidR="00F25031" w:rsidRDefault="00F25031" w:rsidP="00066B96">
      <w:pPr>
        <w:jc w:val="center"/>
        <w:rPr>
          <w:rFonts w:ascii="Times" w:hAnsi="Times"/>
        </w:rPr>
      </w:pPr>
    </w:p>
    <w:p w14:paraId="34D0363C" w14:textId="77777777" w:rsidR="00F25031" w:rsidRDefault="00F25031" w:rsidP="00066B96">
      <w:pPr>
        <w:jc w:val="center"/>
        <w:rPr>
          <w:rFonts w:ascii="Times" w:hAnsi="Times"/>
        </w:rPr>
      </w:pPr>
    </w:p>
    <w:p w14:paraId="290EE31F" w14:textId="77777777" w:rsidR="00F25031" w:rsidRDefault="00F25031" w:rsidP="00066B96">
      <w:pPr>
        <w:jc w:val="center"/>
        <w:rPr>
          <w:rFonts w:ascii="Times" w:hAnsi="Times"/>
        </w:rPr>
      </w:pPr>
    </w:p>
    <w:p w14:paraId="1EAD0AB8" w14:textId="77777777" w:rsidR="00F25031" w:rsidRDefault="00F25031" w:rsidP="00066B96">
      <w:pPr>
        <w:jc w:val="center"/>
        <w:rPr>
          <w:rFonts w:ascii="Times" w:hAnsi="Times"/>
        </w:rPr>
      </w:pPr>
    </w:p>
    <w:p w14:paraId="3EF3083F" w14:textId="77777777" w:rsidR="00F25031" w:rsidRDefault="00F25031" w:rsidP="00066B96">
      <w:pPr>
        <w:jc w:val="center"/>
        <w:rPr>
          <w:rFonts w:ascii="Times" w:hAnsi="Times"/>
        </w:rPr>
      </w:pPr>
    </w:p>
    <w:p w14:paraId="12C31D93" w14:textId="77777777" w:rsidR="00F25031" w:rsidRDefault="00F25031" w:rsidP="00066B96">
      <w:pPr>
        <w:jc w:val="center"/>
        <w:rPr>
          <w:rFonts w:ascii="Times" w:hAnsi="Times"/>
        </w:rPr>
      </w:pPr>
    </w:p>
    <w:p w14:paraId="088FE596" w14:textId="77777777" w:rsidR="00F25031" w:rsidRDefault="00F25031" w:rsidP="00066B96">
      <w:pPr>
        <w:jc w:val="center"/>
        <w:rPr>
          <w:rFonts w:ascii="Times" w:hAnsi="Times"/>
        </w:rPr>
      </w:pPr>
    </w:p>
    <w:p w14:paraId="0156CEE3" w14:textId="77777777" w:rsidR="00F25031" w:rsidRDefault="00F25031" w:rsidP="00066B96">
      <w:pPr>
        <w:jc w:val="center"/>
        <w:rPr>
          <w:rFonts w:ascii="Times" w:hAnsi="Times"/>
        </w:rPr>
      </w:pPr>
    </w:p>
    <w:p w14:paraId="4151940D" w14:textId="77777777" w:rsidR="00F25031" w:rsidRDefault="00F25031" w:rsidP="00066B96">
      <w:pPr>
        <w:jc w:val="center"/>
        <w:rPr>
          <w:rFonts w:ascii="Times" w:hAnsi="Times"/>
        </w:rPr>
      </w:pPr>
    </w:p>
    <w:p w14:paraId="0DE59C3A" w14:textId="77777777" w:rsidR="00F25031" w:rsidRDefault="00F25031" w:rsidP="00066B96">
      <w:pPr>
        <w:jc w:val="center"/>
        <w:rPr>
          <w:rFonts w:ascii="Times" w:hAnsi="Times"/>
        </w:rPr>
      </w:pPr>
    </w:p>
    <w:p w14:paraId="6563214D" w14:textId="7EF9B286" w:rsidR="00066B96" w:rsidRPr="00F25031" w:rsidRDefault="00F25031" w:rsidP="00066B96">
      <w:pPr>
        <w:jc w:val="center"/>
        <w:rPr>
          <w:rFonts w:ascii="Times" w:hAnsi="Times"/>
          <w:b/>
          <w:bCs/>
          <w:sz w:val="28"/>
          <w:szCs w:val="28"/>
        </w:rPr>
      </w:pPr>
      <w:r w:rsidRPr="00F25031">
        <w:rPr>
          <w:rFonts w:ascii="Times" w:hAnsi="Times"/>
          <w:b/>
          <w:bCs/>
        </w:rPr>
        <w:t>*NOTE: This is not the opinion offered by the Supreme Court of the United States. Rather it is considered what I believe to be the ideal opinion in the pending case*</w:t>
      </w:r>
      <w:r w:rsidR="00066B96" w:rsidRPr="00F25031">
        <w:rPr>
          <w:rFonts w:ascii="Times" w:hAnsi="Times"/>
          <w:b/>
          <w:bCs/>
          <w:sz w:val="28"/>
          <w:szCs w:val="28"/>
        </w:rPr>
        <w:br w:type="page"/>
      </w:r>
    </w:p>
    <w:p w14:paraId="4F136EF1" w14:textId="3D5AF483" w:rsidR="007F343E" w:rsidRDefault="00B20D31" w:rsidP="00066B96">
      <w:pPr>
        <w:spacing w:line="480" w:lineRule="auto"/>
        <w:ind w:firstLine="720"/>
        <w:jc w:val="both"/>
        <w:rPr>
          <w:rFonts w:ascii="Times" w:hAnsi="Times"/>
        </w:rPr>
      </w:pPr>
      <w:r>
        <w:rPr>
          <w:rFonts w:ascii="Times" w:hAnsi="Times"/>
        </w:rPr>
        <w:lastRenderedPageBreak/>
        <w:t xml:space="preserve">Petitioner, Lorie Smith, operates </w:t>
      </w:r>
      <w:r w:rsidR="007F343E">
        <w:rPr>
          <w:rFonts w:ascii="Times" w:hAnsi="Times"/>
        </w:rPr>
        <w:t>as</w:t>
      </w:r>
      <w:r w:rsidR="00D83C56">
        <w:rPr>
          <w:rFonts w:ascii="Times" w:hAnsi="Times"/>
        </w:rPr>
        <w:t xml:space="preserve"> sole</w:t>
      </w:r>
      <w:r w:rsidR="007F343E">
        <w:rPr>
          <w:rFonts w:ascii="Times" w:hAnsi="Times"/>
        </w:rPr>
        <w:t xml:space="preserve"> member-</w:t>
      </w:r>
      <w:r w:rsidR="00D83C56">
        <w:rPr>
          <w:rFonts w:ascii="Times" w:hAnsi="Times"/>
        </w:rPr>
        <w:t>own</w:t>
      </w:r>
      <w:r w:rsidR="007F343E">
        <w:rPr>
          <w:rFonts w:ascii="Times" w:hAnsi="Times"/>
        </w:rPr>
        <w:t>er</w:t>
      </w:r>
      <w:r w:rsidR="00D83C56">
        <w:rPr>
          <w:rFonts w:ascii="Times" w:hAnsi="Times"/>
        </w:rPr>
        <w:t xml:space="preserve"> </w:t>
      </w:r>
      <w:r w:rsidR="00371E92">
        <w:rPr>
          <w:rFonts w:ascii="Times" w:hAnsi="Times"/>
        </w:rPr>
        <w:t xml:space="preserve">of </w:t>
      </w:r>
      <w:r>
        <w:rPr>
          <w:rFonts w:ascii="Times" w:hAnsi="Times"/>
        </w:rPr>
        <w:t xml:space="preserve">303 Creative. She offers services such as website and graphic design alongside other complimentary services. Among the services she offers is wedding website design. </w:t>
      </w:r>
      <w:r w:rsidR="00D83C56">
        <w:rPr>
          <w:rFonts w:ascii="Times" w:hAnsi="Times"/>
        </w:rPr>
        <w:t xml:space="preserve">She </w:t>
      </w:r>
      <w:r w:rsidR="007F343E">
        <w:rPr>
          <w:rFonts w:ascii="Times" w:hAnsi="Times"/>
        </w:rPr>
        <w:t>maintains</w:t>
      </w:r>
      <w:r w:rsidR="00D83C56">
        <w:rPr>
          <w:rFonts w:ascii="Times" w:hAnsi="Times"/>
        </w:rPr>
        <w:t xml:space="preserve"> that she will design works for lesbian, gay, bisexual, and transgender </w:t>
      </w:r>
      <w:r w:rsidR="00BA6395">
        <w:rPr>
          <w:rFonts w:ascii="Times" w:hAnsi="Times"/>
        </w:rPr>
        <w:t>individuals</w:t>
      </w:r>
      <w:r w:rsidR="007F343E">
        <w:rPr>
          <w:rFonts w:ascii="Times" w:hAnsi="Times"/>
        </w:rPr>
        <w:t xml:space="preserve"> (“LGBT”)</w:t>
      </w:r>
      <w:r w:rsidR="00D83C56">
        <w:rPr>
          <w:rFonts w:ascii="Times" w:hAnsi="Times"/>
        </w:rPr>
        <w:t>. However, because she sincerely believes that marriage is solely between a man and woman, she will not offer the service of wedding website design to same-sex couples. The issue Petitioner brings forth, however, is not that she has been found to be non-compliant with Colorado’s Ant</w:t>
      </w:r>
      <w:r w:rsidR="00FE5AF7">
        <w:rPr>
          <w:rFonts w:ascii="Times" w:hAnsi="Times"/>
        </w:rPr>
        <w:t>i</w:t>
      </w:r>
      <w:r w:rsidR="00D83C56">
        <w:rPr>
          <w:rFonts w:ascii="Times" w:hAnsi="Times"/>
        </w:rPr>
        <w:t xml:space="preserve">-Discrimination Act. Rather, Petitioner seeks injunctive relief from having to comply with the law at issue. </w:t>
      </w:r>
    </w:p>
    <w:p w14:paraId="7A86F113" w14:textId="0694591C" w:rsidR="00202B3E" w:rsidRDefault="00D83C56" w:rsidP="00E35B3E">
      <w:pPr>
        <w:spacing w:line="480" w:lineRule="auto"/>
        <w:ind w:firstLine="720"/>
        <w:jc w:val="both"/>
        <w:rPr>
          <w:rFonts w:ascii="Times" w:hAnsi="Times"/>
        </w:rPr>
      </w:pPr>
      <w:r>
        <w:rPr>
          <w:rFonts w:ascii="Times" w:hAnsi="Times"/>
        </w:rPr>
        <w:t>Also at issue is Petitioner’s intent to publish a statement regarding her personal beliefs</w:t>
      </w:r>
      <w:r w:rsidR="007F343E">
        <w:rPr>
          <w:rFonts w:ascii="Times" w:hAnsi="Times"/>
        </w:rPr>
        <w:t xml:space="preserve"> on her website</w:t>
      </w:r>
      <w:r>
        <w:rPr>
          <w:rFonts w:ascii="Times" w:hAnsi="Times"/>
        </w:rPr>
        <w:t>. The statement reads:</w:t>
      </w:r>
    </w:p>
    <w:p w14:paraId="4B7F1814" w14:textId="2E38E108" w:rsidR="00D83C56" w:rsidRDefault="00D83C56" w:rsidP="00E35B3E">
      <w:pPr>
        <w:ind w:left="720" w:right="720"/>
        <w:jc w:val="both"/>
        <w:rPr>
          <w:rFonts w:ascii="Times" w:hAnsi="Times"/>
        </w:rPr>
      </w:pPr>
      <w:r>
        <w:rPr>
          <w:rFonts w:ascii="Times" w:hAnsi="Times"/>
        </w:rPr>
        <w:t>These same religious convictions that motivate me also prevent me</w:t>
      </w:r>
      <w:r w:rsidR="0078194A">
        <w:rPr>
          <w:rFonts w:ascii="Times" w:hAnsi="Times"/>
        </w:rPr>
        <w:t xml:space="preserve"> from creating websites promoting and celebrating ideas or messages that violate my beliefs. </w:t>
      </w:r>
      <w:r w:rsidR="007F343E">
        <w:rPr>
          <w:rFonts w:ascii="Times" w:hAnsi="Times"/>
        </w:rPr>
        <w:t>So,</w:t>
      </w:r>
      <w:r w:rsidR="0078194A">
        <w:rPr>
          <w:rFonts w:ascii="Times" w:hAnsi="Times"/>
        </w:rPr>
        <w:t xml:space="preserve"> I will not be able not be able to create websites for same-sex marriages or any other marriage that is not between one man and one woman. Doing that would compromise my Christian witness and tell a story about marriage that contradicts God’s true story of marriage – the very story He is calling me to promote.</w:t>
      </w:r>
    </w:p>
    <w:p w14:paraId="5B496C13" w14:textId="77777777" w:rsidR="00F04AB3" w:rsidRDefault="001559CB" w:rsidP="009D52A1">
      <w:pPr>
        <w:jc w:val="both"/>
        <w:rPr>
          <w:rFonts w:ascii="Times" w:hAnsi="Times"/>
        </w:rPr>
      </w:pPr>
      <w:r>
        <w:rPr>
          <w:rFonts w:ascii="Times" w:hAnsi="Times"/>
        </w:rPr>
        <w:tab/>
      </w:r>
    </w:p>
    <w:p w14:paraId="47D0009F" w14:textId="1E22F2E3" w:rsidR="00E35B3E" w:rsidRDefault="002751F1" w:rsidP="009F6979">
      <w:pPr>
        <w:spacing w:line="480" w:lineRule="auto"/>
        <w:jc w:val="both"/>
        <w:rPr>
          <w:rFonts w:ascii="Times" w:hAnsi="Times"/>
        </w:rPr>
      </w:pPr>
      <w:r>
        <w:rPr>
          <w:rFonts w:ascii="Times" w:hAnsi="Times"/>
        </w:rPr>
        <w:t>(J.</w:t>
      </w:r>
      <w:r w:rsidR="004C2DEF">
        <w:rPr>
          <w:rFonts w:ascii="Times" w:hAnsi="Times"/>
        </w:rPr>
        <w:t>A. at 30-31).</w:t>
      </w:r>
      <w:r>
        <w:rPr>
          <w:rFonts w:ascii="Times" w:hAnsi="Times"/>
        </w:rPr>
        <w:t xml:space="preserve"> </w:t>
      </w:r>
      <w:r w:rsidR="001559CB">
        <w:rPr>
          <w:rFonts w:ascii="Times" w:hAnsi="Times"/>
        </w:rPr>
        <w:t xml:space="preserve">Petitioner brought a pre-enforcement challenge in the United States District Court </w:t>
      </w:r>
      <w:r w:rsidR="007C201B">
        <w:rPr>
          <w:rFonts w:ascii="Times" w:hAnsi="Times"/>
        </w:rPr>
        <w:t xml:space="preserve">for the District of Colorado. Petitioner </w:t>
      </w:r>
      <w:r w:rsidR="00E35B3E">
        <w:rPr>
          <w:rFonts w:ascii="Times" w:hAnsi="Times"/>
        </w:rPr>
        <w:t>asserted that Colorado’s Anti-Discrimination Act’s Accommodation Clause and Communication Clause violated her First Amendment rights to free speech and exercise</w:t>
      </w:r>
      <w:r w:rsidR="00024222">
        <w:rPr>
          <w:rFonts w:ascii="Times" w:hAnsi="Times"/>
        </w:rPr>
        <w:t>. She further asserted that the Communication Clause</w:t>
      </w:r>
      <w:r w:rsidR="00E35B3E">
        <w:rPr>
          <w:rFonts w:ascii="Times" w:hAnsi="Times"/>
        </w:rPr>
        <w:t xml:space="preserve"> </w:t>
      </w:r>
      <w:r w:rsidR="00024222">
        <w:rPr>
          <w:rFonts w:ascii="Times" w:hAnsi="Times"/>
        </w:rPr>
        <w:t>violated</w:t>
      </w:r>
      <w:r w:rsidR="00E35B3E">
        <w:rPr>
          <w:rFonts w:ascii="Times" w:hAnsi="Times"/>
        </w:rPr>
        <w:t xml:space="preserve"> the Due Process Clause of the Fourteenth Amendment because </w:t>
      </w:r>
      <w:r w:rsidR="00024222">
        <w:rPr>
          <w:rFonts w:ascii="Times" w:hAnsi="Times"/>
        </w:rPr>
        <w:t>on its face the clause is overbroad and vague. Both parties stipulated that the matter should be adjudicated on a motion for summary judgment. The district court dismissed Petitioner’s claims.</w:t>
      </w:r>
    </w:p>
    <w:p w14:paraId="256A4FA6" w14:textId="29421751" w:rsidR="0078194A" w:rsidRDefault="00024222" w:rsidP="00452BB2">
      <w:pPr>
        <w:spacing w:line="480" w:lineRule="auto"/>
        <w:ind w:firstLine="720"/>
        <w:jc w:val="both"/>
        <w:rPr>
          <w:rFonts w:ascii="Times" w:hAnsi="Times"/>
        </w:rPr>
      </w:pPr>
      <w:r>
        <w:rPr>
          <w:rFonts w:ascii="Times" w:hAnsi="Times"/>
        </w:rPr>
        <w:t xml:space="preserve">The Petitioner then appealed the district court’s final ruling to the Tenth Circuit Court of Appeals. The Court of Appeals reversed the district court’s ruling on both claims with respect to standing. It </w:t>
      </w:r>
      <w:r w:rsidR="00172C8F">
        <w:rPr>
          <w:rFonts w:ascii="Times" w:hAnsi="Times"/>
        </w:rPr>
        <w:t xml:space="preserve">then </w:t>
      </w:r>
      <w:r>
        <w:rPr>
          <w:rFonts w:ascii="Times" w:hAnsi="Times"/>
        </w:rPr>
        <w:t xml:space="preserve">concluded that Colorado’s Accommodation Clause and Communication Clause </w:t>
      </w:r>
      <w:r>
        <w:rPr>
          <w:rFonts w:ascii="Times" w:hAnsi="Times"/>
        </w:rPr>
        <w:lastRenderedPageBreak/>
        <w:t xml:space="preserve">were constitutional under the First Amendment. The court also </w:t>
      </w:r>
      <w:r w:rsidR="0080561E">
        <w:rPr>
          <w:rFonts w:ascii="Times" w:hAnsi="Times"/>
        </w:rPr>
        <w:t>found</w:t>
      </w:r>
      <w:r>
        <w:rPr>
          <w:rFonts w:ascii="Times" w:hAnsi="Times"/>
        </w:rPr>
        <w:t xml:space="preserve"> that the Communication Clause </w:t>
      </w:r>
      <w:r w:rsidR="0080561E">
        <w:rPr>
          <w:rFonts w:ascii="Times" w:hAnsi="Times"/>
        </w:rPr>
        <w:t>was neither unconstitutional</w:t>
      </w:r>
      <w:r w:rsidR="00172C8F">
        <w:rPr>
          <w:rFonts w:ascii="Times" w:hAnsi="Times"/>
        </w:rPr>
        <w:t>ly</w:t>
      </w:r>
      <w:r w:rsidR="0080561E">
        <w:rPr>
          <w:rFonts w:ascii="Times" w:hAnsi="Times"/>
        </w:rPr>
        <w:t xml:space="preserve"> overbroad nor vague.</w:t>
      </w:r>
      <w:r w:rsidR="00F62C5C">
        <w:rPr>
          <w:rFonts w:ascii="Times" w:hAnsi="Times"/>
        </w:rPr>
        <w:t xml:space="preserve"> This issue was not raised on appeal to the Court.</w:t>
      </w:r>
    </w:p>
    <w:p w14:paraId="6A8B6FDF" w14:textId="77777777" w:rsidR="00F62C5C" w:rsidRDefault="00F62C5C" w:rsidP="007D1A96">
      <w:pPr>
        <w:rPr>
          <w:rFonts w:ascii="Times" w:hAnsi="Times"/>
        </w:rPr>
      </w:pPr>
    </w:p>
    <w:p w14:paraId="3AE7644D" w14:textId="2AC3F290" w:rsidR="009D52A1" w:rsidRDefault="009D52A1" w:rsidP="009D52A1">
      <w:pPr>
        <w:jc w:val="center"/>
        <w:rPr>
          <w:rFonts w:ascii="Times" w:hAnsi="Times"/>
        </w:rPr>
      </w:pPr>
      <w:r>
        <w:rPr>
          <w:rFonts w:ascii="Times" w:hAnsi="Times"/>
        </w:rPr>
        <w:t>I.</w:t>
      </w:r>
    </w:p>
    <w:p w14:paraId="70C98001" w14:textId="77777777" w:rsidR="009D52A1" w:rsidRDefault="009D52A1" w:rsidP="009D52A1">
      <w:pPr>
        <w:jc w:val="both"/>
        <w:rPr>
          <w:rFonts w:ascii="Times" w:hAnsi="Times"/>
        </w:rPr>
      </w:pPr>
    </w:p>
    <w:p w14:paraId="15534FA8" w14:textId="77777777" w:rsidR="00F04AB3" w:rsidRDefault="00F04AB3" w:rsidP="009D52A1">
      <w:pPr>
        <w:jc w:val="both"/>
        <w:rPr>
          <w:rFonts w:ascii="Times" w:hAnsi="Times"/>
        </w:rPr>
      </w:pPr>
    </w:p>
    <w:p w14:paraId="20C0B45C" w14:textId="1F557D12" w:rsidR="002678E2" w:rsidRPr="002678E2" w:rsidRDefault="002678E2" w:rsidP="002775FB">
      <w:pPr>
        <w:spacing w:line="480" w:lineRule="auto"/>
        <w:ind w:firstLine="720"/>
        <w:jc w:val="both"/>
        <w:rPr>
          <w:rFonts w:ascii="Times" w:hAnsi="Times"/>
        </w:rPr>
      </w:pPr>
      <w:r>
        <w:rPr>
          <w:rFonts w:ascii="Times" w:hAnsi="Times"/>
        </w:rPr>
        <w:t xml:space="preserve">The Colorado Anti-Discrimination Act (“CADA”) prohibits discrimination by public accommodations </w:t>
      </w:r>
      <w:proofErr w:type="gramStart"/>
      <w:r>
        <w:rPr>
          <w:rFonts w:ascii="Times" w:hAnsi="Times"/>
        </w:rPr>
        <w:t>on the basis of</w:t>
      </w:r>
      <w:proofErr w:type="gramEnd"/>
      <w:r>
        <w:rPr>
          <w:rFonts w:ascii="Times" w:hAnsi="Times"/>
        </w:rPr>
        <w:t xml:space="preserve"> sexual orientation. The statute defines a place of public accommodation as “any place of business engaged in any sales to the public and any place offering services, facilities, advantages, or accommodations to the public.”</w:t>
      </w:r>
      <w:r w:rsidR="00F04AB3">
        <w:rPr>
          <w:rFonts w:ascii="Times" w:hAnsi="Times"/>
        </w:rPr>
        <w:t xml:space="preserve"> </w:t>
      </w:r>
      <w:r w:rsidR="00B84E33" w:rsidRPr="0079376F">
        <w:rPr>
          <w:rFonts w:ascii="Times" w:hAnsi="Times"/>
        </w:rPr>
        <w:t>Colo. Rev. Stat. §24-34-601(1).</w:t>
      </w:r>
      <w:r w:rsidR="00F04AB3">
        <w:rPr>
          <w:rFonts w:ascii="Times" w:hAnsi="Times"/>
        </w:rPr>
        <w:t xml:space="preserve"> </w:t>
      </w:r>
      <w:r>
        <w:rPr>
          <w:rFonts w:ascii="Times" w:hAnsi="Times"/>
        </w:rPr>
        <w:t xml:space="preserve">A place of public accommodation must not </w:t>
      </w:r>
      <w:r w:rsidR="00BD4A76">
        <w:rPr>
          <w:rFonts w:ascii="Times" w:hAnsi="Times"/>
        </w:rPr>
        <w:t>“</w:t>
      </w:r>
      <w:r>
        <w:rPr>
          <w:rFonts w:ascii="Times" w:hAnsi="Times"/>
        </w:rPr>
        <w:t>directly or indirectly</w:t>
      </w:r>
      <w:r w:rsidR="00BD4A76">
        <w:rPr>
          <w:rFonts w:ascii="Times" w:hAnsi="Times"/>
        </w:rPr>
        <w:t xml:space="preserve"> . . . </w:t>
      </w:r>
      <w:r>
        <w:rPr>
          <w:rFonts w:ascii="Times" w:hAnsi="Times"/>
        </w:rPr>
        <w:t>refuse</w:t>
      </w:r>
      <w:r w:rsidR="00BD4A76">
        <w:rPr>
          <w:rFonts w:ascii="Times" w:hAnsi="Times"/>
        </w:rPr>
        <w:t xml:space="preserve"> . . .</w:t>
      </w:r>
      <w:r>
        <w:rPr>
          <w:rFonts w:ascii="Times" w:hAnsi="Times"/>
        </w:rPr>
        <w:t xml:space="preserve"> an individual or group, </w:t>
      </w:r>
      <w:r w:rsidR="00BD4A76">
        <w:rPr>
          <w:rFonts w:ascii="Times" w:hAnsi="Times"/>
        </w:rPr>
        <w:t>because of</w:t>
      </w:r>
      <w:r>
        <w:rPr>
          <w:rFonts w:ascii="Times" w:hAnsi="Times"/>
        </w:rPr>
        <w:t xml:space="preserve"> </w:t>
      </w:r>
      <w:r w:rsidR="00BD4A76">
        <w:rPr>
          <w:rFonts w:ascii="Times" w:hAnsi="Times"/>
        </w:rPr>
        <w:t xml:space="preserve">. . . </w:t>
      </w:r>
      <w:r>
        <w:rPr>
          <w:rFonts w:ascii="Times" w:hAnsi="Times"/>
        </w:rPr>
        <w:t>sexual orientation</w:t>
      </w:r>
      <w:r w:rsidR="00BD4A76">
        <w:rPr>
          <w:rFonts w:ascii="Times" w:hAnsi="Times"/>
        </w:rPr>
        <w:t xml:space="preserve"> . . . </w:t>
      </w:r>
      <w:r>
        <w:rPr>
          <w:rFonts w:ascii="Times" w:hAnsi="Times"/>
        </w:rPr>
        <w:t>the full enjoyment of goods, services, facilities, privileges, advantages or accommodations.</w:t>
      </w:r>
      <w:r w:rsidR="00BD4A76">
        <w:rPr>
          <w:rFonts w:ascii="Times" w:hAnsi="Times"/>
        </w:rPr>
        <w:t>”</w:t>
      </w:r>
      <w:r>
        <w:rPr>
          <w:rFonts w:ascii="Times" w:hAnsi="Times"/>
        </w:rPr>
        <w:t xml:space="preserve"> </w:t>
      </w:r>
      <w:r w:rsidR="00F04AB3" w:rsidRPr="0079376F">
        <w:rPr>
          <w:rFonts w:ascii="Times" w:hAnsi="Times"/>
        </w:rPr>
        <w:t>Colo. Rev. Stat. §24-</w:t>
      </w:r>
      <w:r w:rsidR="00F04AB3">
        <w:rPr>
          <w:rFonts w:ascii="Times" w:hAnsi="Times"/>
        </w:rPr>
        <w:t>3</w:t>
      </w:r>
      <w:r w:rsidR="00F04AB3" w:rsidRPr="0079376F">
        <w:rPr>
          <w:rFonts w:ascii="Times" w:hAnsi="Times"/>
        </w:rPr>
        <w:t>4-601(2)</w:t>
      </w:r>
      <w:r w:rsidR="00F04AB3">
        <w:rPr>
          <w:rFonts w:ascii="Times" w:hAnsi="Times"/>
        </w:rPr>
        <w:t>(a)</w:t>
      </w:r>
      <w:r w:rsidR="00F04AB3" w:rsidRPr="0079376F">
        <w:rPr>
          <w:rFonts w:ascii="Times" w:hAnsi="Times"/>
        </w:rPr>
        <w:t>.</w:t>
      </w:r>
      <w:r w:rsidR="00F04AB3">
        <w:rPr>
          <w:rFonts w:ascii="Times" w:hAnsi="Times"/>
        </w:rPr>
        <w:t xml:space="preserve"> </w:t>
      </w:r>
      <w:r w:rsidR="007F343E">
        <w:rPr>
          <w:rFonts w:ascii="Times" w:hAnsi="Times"/>
        </w:rPr>
        <w:t xml:space="preserve">It further </w:t>
      </w:r>
      <w:r>
        <w:rPr>
          <w:rFonts w:ascii="Times" w:hAnsi="Times"/>
        </w:rPr>
        <w:t xml:space="preserve">states that a place of public accommodation is prohibited from directly or indirectly publishing any communication </w:t>
      </w:r>
      <w:r w:rsidR="00BD4A76">
        <w:rPr>
          <w:rFonts w:ascii="Times" w:hAnsi="Times"/>
        </w:rPr>
        <w:t xml:space="preserve">indicating that </w:t>
      </w:r>
      <w:r w:rsidR="000A5C3E">
        <w:rPr>
          <w:rFonts w:ascii="Times" w:hAnsi="Times"/>
        </w:rPr>
        <w:t>“</w:t>
      </w:r>
      <w:r w:rsidR="00BD4A76">
        <w:rPr>
          <w:rFonts w:ascii="Times" w:hAnsi="Times"/>
        </w:rPr>
        <w:t xml:space="preserve">the full and equal enjoyment of the goods, services, facilities, privileges, advantages, or accommodations of a place of publication will be refused or that an individual’s patronage is unwelcome, objectionable, unacceptable, or undesirable </w:t>
      </w:r>
      <w:r w:rsidR="000A5C3E">
        <w:rPr>
          <w:rFonts w:ascii="Times" w:hAnsi="Times"/>
        </w:rPr>
        <w:t xml:space="preserve">. . . </w:t>
      </w:r>
      <w:r w:rsidR="00BD4A76">
        <w:rPr>
          <w:rFonts w:ascii="Times" w:hAnsi="Times"/>
        </w:rPr>
        <w:t>because of</w:t>
      </w:r>
      <w:r w:rsidR="000A5C3E">
        <w:rPr>
          <w:rFonts w:ascii="Times" w:hAnsi="Times"/>
        </w:rPr>
        <w:t xml:space="preserve"> . . .</w:t>
      </w:r>
      <w:r w:rsidR="00BD4A76">
        <w:rPr>
          <w:rFonts w:ascii="Times" w:hAnsi="Times"/>
        </w:rPr>
        <w:t xml:space="preserve"> sexual orientation.</w:t>
      </w:r>
      <w:r w:rsidR="00EC5998">
        <w:rPr>
          <w:rFonts w:ascii="Times" w:hAnsi="Times"/>
        </w:rPr>
        <w:t xml:space="preserve">” </w:t>
      </w:r>
      <w:r w:rsidR="00EC5998" w:rsidRPr="00EC5998">
        <w:rPr>
          <w:rFonts w:ascii="Times" w:hAnsi="Times"/>
          <w:i/>
          <w:iCs/>
        </w:rPr>
        <w:t>Id</w:t>
      </w:r>
      <w:r w:rsidR="00EC5998">
        <w:rPr>
          <w:rFonts w:ascii="Times" w:hAnsi="Times"/>
        </w:rPr>
        <w:t>.</w:t>
      </w:r>
    </w:p>
    <w:p w14:paraId="5A8AAACB" w14:textId="4CD4CC20" w:rsidR="00C37C46" w:rsidRDefault="00710505" w:rsidP="002775FB">
      <w:pPr>
        <w:jc w:val="center"/>
        <w:rPr>
          <w:rFonts w:ascii="Times" w:hAnsi="Times"/>
        </w:rPr>
      </w:pPr>
      <w:r w:rsidRPr="00710505">
        <w:rPr>
          <w:rFonts w:ascii="Times" w:hAnsi="Times"/>
        </w:rPr>
        <w:t>I</w:t>
      </w:r>
      <w:r>
        <w:rPr>
          <w:rFonts w:ascii="Times" w:hAnsi="Times"/>
        </w:rPr>
        <w:t>I</w:t>
      </w:r>
      <w:r w:rsidRPr="00710505">
        <w:rPr>
          <w:rFonts w:ascii="Times" w:hAnsi="Times"/>
        </w:rPr>
        <w:t>.</w:t>
      </w:r>
    </w:p>
    <w:p w14:paraId="3599F336" w14:textId="77777777" w:rsidR="00C37C46" w:rsidRPr="009B2385" w:rsidRDefault="00C37C46" w:rsidP="00C37C46">
      <w:pPr>
        <w:jc w:val="center"/>
        <w:rPr>
          <w:rFonts w:ascii="Times" w:hAnsi="Times"/>
        </w:rPr>
      </w:pPr>
    </w:p>
    <w:p w14:paraId="3A7C102E" w14:textId="10003D2B" w:rsidR="00A02AF7" w:rsidRDefault="00FD72E3" w:rsidP="00A944A2">
      <w:pPr>
        <w:spacing w:line="480" w:lineRule="auto"/>
        <w:ind w:firstLine="720"/>
        <w:jc w:val="both"/>
        <w:rPr>
          <w:rFonts w:ascii="Times" w:hAnsi="Times"/>
        </w:rPr>
      </w:pPr>
      <w:r>
        <w:rPr>
          <w:rFonts w:ascii="Times" w:hAnsi="Times"/>
        </w:rPr>
        <w:t xml:space="preserve">The first question before </w:t>
      </w:r>
      <w:r w:rsidR="00452BB2">
        <w:rPr>
          <w:rFonts w:ascii="Times" w:hAnsi="Times"/>
        </w:rPr>
        <w:t>the Court</w:t>
      </w:r>
      <w:r>
        <w:rPr>
          <w:rFonts w:ascii="Times" w:hAnsi="Times"/>
        </w:rPr>
        <w:t xml:space="preserve"> is whether the Petitioner has sufficient standing to challenge the </w:t>
      </w:r>
      <w:r w:rsidR="00F62C5C">
        <w:rPr>
          <w:rFonts w:ascii="Times" w:hAnsi="Times"/>
        </w:rPr>
        <w:t xml:space="preserve">CADA’s </w:t>
      </w:r>
      <w:r>
        <w:rPr>
          <w:rFonts w:ascii="Times" w:hAnsi="Times"/>
        </w:rPr>
        <w:t xml:space="preserve">Public Accommodation </w:t>
      </w:r>
      <w:r w:rsidR="00F62C5C">
        <w:rPr>
          <w:rFonts w:ascii="Times" w:hAnsi="Times"/>
        </w:rPr>
        <w:t>Clause.</w:t>
      </w:r>
      <w:r w:rsidR="00A02AF7">
        <w:rPr>
          <w:rFonts w:ascii="Times" w:hAnsi="Times"/>
        </w:rPr>
        <w:t xml:space="preserve"> Petitioner </w:t>
      </w:r>
      <w:r w:rsidR="00F62C5C">
        <w:rPr>
          <w:rFonts w:ascii="Times" w:hAnsi="Times"/>
        </w:rPr>
        <w:t>does not have</w:t>
      </w:r>
      <w:r w:rsidR="00A02AF7">
        <w:rPr>
          <w:rFonts w:ascii="Times" w:hAnsi="Times"/>
        </w:rPr>
        <w:t xml:space="preserve"> standing on this claim.</w:t>
      </w:r>
    </w:p>
    <w:p w14:paraId="78D4F4F3" w14:textId="77777777" w:rsidR="004C2DEF" w:rsidRDefault="004C2DEF" w:rsidP="004C2DEF">
      <w:pPr>
        <w:jc w:val="center"/>
        <w:rPr>
          <w:rFonts w:ascii="Times" w:hAnsi="Times"/>
        </w:rPr>
      </w:pPr>
    </w:p>
    <w:p w14:paraId="7420C21F" w14:textId="72CA6417" w:rsidR="004C2DEF" w:rsidRDefault="00236B02" w:rsidP="002775FB">
      <w:pPr>
        <w:jc w:val="center"/>
        <w:rPr>
          <w:rFonts w:ascii="Times" w:hAnsi="Times"/>
        </w:rPr>
      </w:pPr>
      <w:r>
        <w:rPr>
          <w:rFonts w:ascii="Times" w:hAnsi="Times"/>
        </w:rPr>
        <w:t>A.</w:t>
      </w:r>
    </w:p>
    <w:p w14:paraId="26006EEC" w14:textId="77777777" w:rsidR="002775FB" w:rsidRPr="00236B02" w:rsidRDefault="002775FB" w:rsidP="002775FB">
      <w:pPr>
        <w:jc w:val="center"/>
        <w:rPr>
          <w:rFonts w:ascii="Times" w:hAnsi="Times"/>
        </w:rPr>
      </w:pPr>
    </w:p>
    <w:p w14:paraId="735DE2BC" w14:textId="7E7E46F9" w:rsidR="00777A44" w:rsidRDefault="00B64DFA" w:rsidP="002775FB">
      <w:pPr>
        <w:spacing w:line="480" w:lineRule="auto"/>
        <w:ind w:firstLine="720"/>
        <w:jc w:val="both"/>
        <w:rPr>
          <w:rFonts w:ascii="Times" w:hAnsi="Times"/>
        </w:rPr>
      </w:pPr>
      <w:r>
        <w:rPr>
          <w:rFonts w:ascii="Times" w:hAnsi="Times"/>
        </w:rPr>
        <w:lastRenderedPageBreak/>
        <w:t xml:space="preserve">There is little question that if </w:t>
      </w:r>
      <w:r w:rsidR="00A863F8">
        <w:rPr>
          <w:rFonts w:ascii="Times" w:hAnsi="Times"/>
        </w:rPr>
        <w:t>th</w:t>
      </w:r>
      <w:r w:rsidR="00452BB2">
        <w:rPr>
          <w:rFonts w:ascii="Times" w:hAnsi="Times"/>
        </w:rPr>
        <w:t>e</w:t>
      </w:r>
      <w:r>
        <w:rPr>
          <w:rFonts w:ascii="Times" w:hAnsi="Times"/>
        </w:rPr>
        <w:t xml:space="preserve"> Court holds that Petitioner must make and design wedding websites for same-sex couples that she would be compelled to do so. It is the very essence </w:t>
      </w:r>
      <w:r w:rsidR="00F62C5C">
        <w:rPr>
          <w:rFonts w:ascii="Times" w:hAnsi="Times"/>
        </w:rPr>
        <w:t xml:space="preserve">of coercion </w:t>
      </w:r>
      <w:r>
        <w:rPr>
          <w:rFonts w:ascii="Times" w:hAnsi="Times"/>
        </w:rPr>
        <w:t xml:space="preserve">that if an individual must act other than they so desire </w:t>
      </w:r>
      <w:r w:rsidR="00A863F8">
        <w:rPr>
          <w:rFonts w:ascii="Times" w:hAnsi="Times"/>
        </w:rPr>
        <w:t>under</w:t>
      </w:r>
      <w:r>
        <w:rPr>
          <w:rFonts w:ascii="Times" w:hAnsi="Times"/>
        </w:rPr>
        <w:t xml:space="preserve"> penalty of law then such an act would be compelled. However,</w:t>
      </w:r>
      <w:r w:rsidR="00777A44">
        <w:rPr>
          <w:rFonts w:ascii="Times" w:hAnsi="Times"/>
        </w:rPr>
        <w:t xml:space="preserve"> the Constitution limits the province of th</w:t>
      </w:r>
      <w:r w:rsidR="00452BB2">
        <w:rPr>
          <w:rFonts w:ascii="Times" w:hAnsi="Times"/>
        </w:rPr>
        <w:t>e</w:t>
      </w:r>
      <w:r w:rsidR="00777A44">
        <w:rPr>
          <w:rFonts w:ascii="Times" w:hAnsi="Times"/>
        </w:rPr>
        <w:t xml:space="preserve"> Court. </w:t>
      </w:r>
      <w:r w:rsidR="00575C2D">
        <w:rPr>
          <w:rFonts w:ascii="Times" w:hAnsi="Times"/>
        </w:rPr>
        <w:t xml:space="preserve">Although “it has long been recognized that the First Amendment needs breathing space,” “courts are not roving commissions assigned to pass judgment on the validity of the Nation’s laws.” </w:t>
      </w:r>
      <w:r w:rsidR="00575C2D" w:rsidRPr="00575C2D">
        <w:rPr>
          <w:rFonts w:ascii="Times" w:hAnsi="Times"/>
          <w:i/>
          <w:iCs/>
        </w:rPr>
        <w:t>Broadrick v. Oklahoma</w:t>
      </w:r>
      <w:r w:rsidR="00575C2D">
        <w:rPr>
          <w:rFonts w:ascii="Times" w:hAnsi="Times"/>
        </w:rPr>
        <w:t xml:space="preserve">, 413 U.S. 601, 611 (1973). </w:t>
      </w:r>
      <w:r w:rsidR="00177149">
        <w:rPr>
          <w:rFonts w:ascii="Times" w:hAnsi="Times"/>
        </w:rPr>
        <w:t xml:space="preserve"> </w:t>
      </w:r>
      <w:r w:rsidR="00452BB2">
        <w:rPr>
          <w:rFonts w:ascii="Times" w:hAnsi="Times"/>
        </w:rPr>
        <w:t>The Court</w:t>
      </w:r>
      <w:r w:rsidR="00177149">
        <w:rPr>
          <w:rFonts w:ascii="Times" w:hAnsi="Times"/>
        </w:rPr>
        <w:t xml:space="preserve"> </w:t>
      </w:r>
      <w:r w:rsidR="00452BB2">
        <w:rPr>
          <w:rFonts w:ascii="Times" w:hAnsi="Times"/>
        </w:rPr>
        <w:t>is</w:t>
      </w:r>
      <w:r w:rsidR="00177149">
        <w:rPr>
          <w:rFonts w:ascii="Times" w:hAnsi="Times"/>
        </w:rPr>
        <w:t xml:space="preserve"> justified in only adjudicating rights in particular cases between litigants brought before </w:t>
      </w:r>
      <w:r w:rsidR="00452BB2">
        <w:rPr>
          <w:rFonts w:ascii="Times" w:hAnsi="Times"/>
        </w:rPr>
        <w:t>[the]</w:t>
      </w:r>
      <w:r w:rsidR="00177149">
        <w:rPr>
          <w:rFonts w:ascii="Times" w:hAnsi="Times"/>
        </w:rPr>
        <w:t xml:space="preserve"> Court,” with exception to First Amendment claims. </w:t>
      </w:r>
      <w:r w:rsidR="00177149" w:rsidRPr="00177149">
        <w:rPr>
          <w:rFonts w:ascii="Times" w:hAnsi="Times"/>
          <w:i/>
          <w:iCs/>
        </w:rPr>
        <w:t>Id</w:t>
      </w:r>
      <w:r w:rsidR="00177149">
        <w:rPr>
          <w:rFonts w:ascii="Times" w:hAnsi="Times"/>
        </w:rPr>
        <w:t>. But th</w:t>
      </w:r>
      <w:r w:rsidR="007D1A96">
        <w:rPr>
          <w:rFonts w:ascii="Times" w:hAnsi="Times"/>
        </w:rPr>
        <w:t xml:space="preserve">is is not </w:t>
      </w:r>
      <w:r w:rsidR="00987865">
        <w:rPr>
          <w:rFonts w:ascii="Times" w:hAnsi="Times"/>
        </w:rPr>
        <w:t>a general</w:t>
      </w:r>
      <w:r w:rsidR="00177149">
        <w:rPr>
          <w:rFonts w:ascii="Times" w:hAnsi="Times"/>
        </w:rPr>
        <w:t xml:space="preserve"> issue of standing. The standing issue brought for th</w:t>
      </w:r>
      <w:r w:rsidR="00452BB2">
        <w:rPr>
          <w:rFonts w:ascii="Times" w:hAnsi="Times"/>
        </w:rPr>
        <w:t>e</w:t>
      </w:r>
      <w:r w:rsidR="00177149">
        <w:rPr>
          <w:rFonts w:ascii="Times" w:hAnsi="Times"/>
        </w:rPr>
        <w:t xml:space="preserve"> Court is specific to a pre-enforcement challenge.</w:t>
      </w:r>
      <w:r>
        <w:rPr>
          <w:rFonts w:ascii="Times" w:hAnsi="Times"/>
        </w:rPr>
        <w:t xml:space="preserve"> </w:t>
      </w:r>
      <w:r w:rsidR="00777A44">
        <w:rPr>
          <w:rFonts w:ascii="Times" w:hAnsi="Times"/>
        </w:rPr>
        <w:t>Thus, th</w:t>
      </w:r>
      <w:r w:rsidR="00452BB2">
        <w:rPr>
          <w:rFonts w:ascii="Times" w:hAnsi="Times"/>
        </w:rPr>
        <w:t>e</w:t>
      </w:r>
      <w:r w:rsidR="00777A44">
        <w:rPr>
          <w:rFonts w:ascii="Times" w:hAnsi="Times"/>
        </w:rPr>
        <w:t xml:space="preserve"> Court must consider </w:t>
      </w:r>
      <w:r w:rsidR="00177149">
        <w:rPr>
          <w:rFonts w:ascii="Times" w:hAnsi="Times"/>
        </w:rPr>
        <w:t>Petitioner’s standing</w:t>
      </w:r>
      <w:r w:rsidR="00777A44">
        <w:rPr>
          <w:rFonts w:ascii="Times" w:hAnsi="Times"/>
        </w:rPr>
        <w:t xml:space="preserve"> before </w:t>
      </w:r>
      <w:r w:rsidR="005A731D">
        <w:rPr>
          <w:rFonts w:ascii="Times" w:hAnsi="Times"/>
        </w:rPr>
        <w:t xml:space="preserve">deciding the issue </w:t>
      </w:r>
      <w:r w:rsidR="006C55CE">
        <w:rPr>
          <w:rFonts w:ascii="Times" w:hAnsi="Times"/>
        </w:rPr>
        <w:t xml:space="preserve">of </w:t>
      </w:r>
      <w:r w:rsidR="00177149">
        <w:rPr>
          <w:rFonts w:ascii="Times" w:hAnsi="Times"/>
        </w:rPr>
        <w:t>CADA’s constitutionality</w:t>
      </w:r>
      <w:r w:rsidR="00777A44">
        <w:rPr>
          <w:rFonts w:ascii="Times" w:hAnsi="Times"/>
        </w:rPr>
        <w:t>.</w:t>
      </w:r>
    </w:p>
    <w:p w14:paraId="12F635F0" w14:textId="5D624F62" w:rsidR="00E006E2" w:rsidRDefault="00E37EF3" w:rsidP="00177149">
      <w:pPr>
        <w:spacing w:line="480" w:lineRule="auto"/>
        <w:ind w:firstLine="720"/>
        <w:jc w:val="both"/>
        <w:rPr>
          <w:rFonts w:ascii="Times" w:hAnsi="Times"/>
        </w:rPr>
      </w:pPr>
      <w:r>
        <w:rPr>
          <w:rFonts w:ascii="Times" w:hAnsi="Times"/>
        </w:rPr>
        <w:t>Th</w:t>
      </w:r>
      <w:r w:rsidR="00452BB2">
        <w:rPr>
          <w:rFonts w:ascii="Times" w:hAnsi="Times"/>
        </w:rPr>
        <w:t>e</w:t>
      </w:r>
      <w:r>
        <w:rPr>
          <w:rFonts w:ascii="Times" w:hAnsi="Times"/>
        </w:rPr>
        <w:t xml:space="preserve"> Court</w:t>
      </w:r>
      <w:r w:rsidR="00452BB2">
        <w:rPr>
          <w:rFonts w:ascii="Times" w:hAnsi="Times"/>
        </w:rPr>
        <w:t xml:space="preserve"> should</w:t>
      </w:r>
      <w:r>
        <w:rPr>
          <w:rFonts w:ascii="Times" w:hAnsi="Times"/>
        </w:rPr>
        <w:t xml:space="preserve"> reaffirm the three-part test put forth in </w:t>
      </w:r>
      <w:r w:rsidRPr="00ED2723">
        <w:rPr>
          <w:rFonts w:ascii="Times" w:hAnsi="Times"/>
          <w:i/>
          <w:iCs/>
        </w:rPr>
        <w:t>Susan B. Anthony List v. Driehaus</w:t>
      </w:r>
      <w:r w:rsidR="00F04AB3">
        <w:rPr>
          <w:rFonts w:ascii="Times" w:hAnsi="Times"/>
          <w:i/>
          <w:iCs/>
        </w:rPr>
        <w:t>,</w:t>
      </w:r>
      <w:r w:rsidR="009D52A1" w:rsidRPr="000A2FBE">
        <w:rPr>
          <w:rFonts w:ascii="Times" w:hAnsi="Times"/>
        </w:rPr>
        <w:t xml:space="preserve"> 573 U.S. 149, 156 (2014)</w:t>
      </w:r>
      <w:r>
        <w:rPr>
          <w:rFonts w:ascii="Times" w:hAnsi="Times"/>
        </w:rPr>
        <w:t xml:space="preserve">. To demonstrate sufficient standing, Petitioner must show: </w:t>
      </w:r>
      <w:r w:rsidR="00581D74">
        <w:rPr>
          <w:rFonts w:ascii="Times" w:hAnsi="Times"/>
        </w:rPr>
        <w:t>(1) an injury in fact; (2) a sufficient causal connection between the injury and the conduct complained of; and (3) a likelihood that the injury will be redressed by a favorable decision.</w:t>
      </w:r>
      <w:r w:rsidR="009D52A1">
        <w:rPr>
          <w:rFonts w:ascii="Times" w:hAnsi="Times"/>
        </w:rPr>
        <w:t xml:space="preserve"> </w:t>
      </w:r>
      <w:r w:rsidR="009D52A1" w:rsidRPr="009D52A1">
        <w:rPr>
          <w:rFonts w:ascii="Times" w:hAnsi="Times"/>
          <w:i/>
          <w:iCs/>
        </w:rPr>
        <w:t>Id</w:t>
      </w:r>
      <w:r w:rsidR="009D52A1">
        <w:rPr>
          <w:rFonts w:ascii="Times" w:hAnsi="Times"/>
        </w:rPr>
        <w:t>.</w:t>
      </w:r>
      <w:r w:rsidR="00581D74">
        <w:rPr>
          <w:rFonts w:ascii="Times" w:hAnsi="Times"/>
        </w:rPr>
        <w:t xml:space="preserve"> </w:t>
      </w:r>
      <w:r w:rsidR="007E2EE3">
        <w:rPr>
          <w:rFonts w:ascii="Times" w:hAnsi="Times"/>
        </w:rPr>
        <w:t>Th</w:t>
      </w:r>
      <w:r w:rsidR="00452BB2">
        <w:rPr>
          <w:rFonts w:ascii="Times" w:hAnsi="Times"/>
        </w:rPr>
        <w:t>e</w:t>
      </w:r>
      <w:r w:rsidR="007E2EE3">
        <w:rPr>
          <w:rFonts w:ascii="Times" w:hAnsi="Times"/>
        </w:rPr>
        <w:t xml:space="preserve"> Court has held</w:t>
      </w:r>
      <w:r w:rsidR="007F343E">
        <w:rPr>
          <w:rFonts w:ascii="Times" w:hAnsi="Times"/>
        </w:rPr>
        <w:t xml:space="preserve"> </w:t>
      </w:r>
      <w:r w:rsidR="00A863F8">
        <w:rPr>
          <w:rFonts w:ascii="Times" w:hAnsi="Times"/>
        </w:rPr>
        <w:t xml:space="preserve">it is </w:t>
      </w:r>
      <w:r w:rsidR="007E2EE3">
        <w:rPr>
          <w:rFonts w:ascii="Times" w:hAnsi="Times"/>
        </w:rPr>
        <w:t xml:space="preserve">sufficient </w:t>
      </w:r>
      <w:r w:rsidR="00A863F8">
        <w:rPr>
          <w:rFonts w:ascii="Times" w:hAnsi="Times"/>
        </w:rPr>
        <w:t xml:space="preserve">for a plaintiff to demonstrate </w:t>
      </w:r>
      <w:r w:rsidR="007E2EE3">
        <w:rPr>
          <w:rFonts w:ascii="Times" w:hAnsi="Times"/>
        </w:rPr>
        <w:t>“an intention to engage in a course of conduct arguabl</w:t>
      </w:r>
      <w:r w:rsidR="00177149">
        <w:rPr>
          <w:rFonts w:ascii="Times" w:hAnsi="Times"/>
        </w:rPr>
        <w:t>y</w:t>
      </w:r>
      <w:r w:rsidR="007E2EE3">
        <w:rPr>
          <w:rFonts w:ascii="Times" w:hAnsi="Times"/>
        </w:rPr>
        <w:t xml:space="preserve"> affected with a constitutional interest, but proscribed by a statute, and there exists a credible threat of prosecution”</w:t>
      </w:r>
      <w:r w:rsidR="00A863F8">
        <w:rPr>
          <w:rFonts w:ascii="Times" w:hAnsi="Times"/>
        </w:rPr>
        <w:t xml:space="preserve"> to satisfy the injury in fact requirement</w:t>
      </w:r>
      <w:r w:rsidR="004E039C">
        <w:rPr>
          <w:rFonts w:ascii="Times" w:hAnsi="Times"/>
        </w:rPr>
        <w:t xml:space="preserve"> of the </w:t>
      </w:r>
      <w:r w:rsidR="004E039C" w:rsidRPr="004E039C">
        <w:rPr>
          <w:rFonts w:ascii="Times" w:hAnsi="Times"/>
          <w:i/>
          <w:iCs/>
        </w:rPr>
        <w:t>SBA</w:t>
      </w:r>
      <w:r w:rsidR="004E039C">
        <w:rPr>
          <w:rFonts w:ascii="Times" w:hAnsi="Times"/>
        </w:rPr>
        <w:t xml:space="preserve"> test</w:t>
      </w:r>
      <w:r w:rsidR="00A863F8">
        <w:rPr>
          <w:rFonts w:ascii="Times" w:hAnsi="Times"/>
        </w:rPr>
        <w:t>.</w:t>
      </w:r>
      <w:r w:rsidR="00B338AD">
        <w:rPr>
          <w:rFonts w:ascii="Times" w:hAnsi="Times"/>
        </w:rPr>
        <w:t xml:space="preserve"> </w:t>
      </w:r>
      <w:r w:rsidR="00F04AB3" w:rsidRPr="00F04AB3">
        <w:rPr>
          <w:rFonts w:ascii="Times" w:hAnsi="Times"/>
          <w:i/>
          <w:iCs/>
        </w:rPr>
        <w:t xml:space="preserve">Babbitt v. UFW Nat’ Union, </w:t>
      </w:r>
      <w:r w:rsidR="00F04AB3" w:rsidRPr="004E039C">
        <w:rPr>
          <w:rFonts w:ascii="Times" w:hAnsi="Times"/>
        </w:rPr>
        <w:t>442 U.S. 289, 298 (19790)</w:t>
      </w:r>
      <w:r w:rsidR="00F04AB3" w:rsidRPr="00F04AB3">
        <w:rPr>
          <w:rFonts w:ascii="Times" w:hAnsi="Times"/>
          <w:i/>
          <w:iCs/>
        </w:rPr>
        <w:t>;</w:t>
      </w:r>
      <w:r w:rsidR="00F04AB3" w:rsidRPr="00B50828">
        <w:rPr>
          <w:rFonts w:ascii="Times" w:hAnsi="Times"/>
        </w:rPr>
        <w:t xml:space="preserve"> </w:t>
      </w:r>
      <w:r w:rsidR="00F04AB3" w:rsidRPr="00B50828">
        <w:rPr>
          <w:rFonts w:ascii="Times" w:hAnsi="Times"/>
          <w:i/>
          <w:iCs/>
        </w:rPr>
        <w:t>see</w:t>
      </w:r>
      <w:r w:rsidR="00F04AB3" w:rsidRPr="00B50828">
        <w:rPr>
          <w:rFonts w:ascii="Times" w:hAnsi="Times"/>
        </w:rPr>
        <w:t xml:space="preserve"> </w:t>
      </w:r>
      <w:r w:rsidR="00F04AB3" w:rsidRPr="00B50828">
        <w:rPr>
          <w:rFonts w:ascii="Times" w:hAnsi="Times"/>
          <w:i/>
          <w:iCs/>
        </w:rPr>
        <w:t>id</w:t>
      </w:r>
      <w:r w:rsidR="00F04AB3" w:rsidRPr="00B50828">
        <w:rPr>
          <w:rFonts w:ascii="Times" w:hAnsi="Times"/>
        </w:rPr>
        <w:t>.</w:t>
      </w:r>
      <w:r w:rsidR="00F04AB3">
        <w:rPr>
          <w:rFonts w:ascii="Times" w:hAnsi="Times"/>
        </w:rPr>
        <w:t xml:space="preserve"> </w:t>
      </w:r>
      <w:r w:rsidR="007E2EE3">
        <w:rPr>
          <w:rFonts w:ascii="Times" w:hAnsi="Times"/>
        </w:rPr>
        <w:t xml:space="preserve">The </w:t>
      </w:r>
      <w:r w:rsidR="00177149">
        <w:rPr>
          <w:rFonts w:ascii="Times" w:hAnsi="Times"/>
        </w:rPr>
        <w:t>Court of Appeals</w:t>
      </w:r>
      <w:r w:rsidR="007E2EE3">
        <w:rPr>
          <w:rFonts w:ascii="Times" w:hAnsi="Times"/>
        </w:rPr>
        <w:t xml:space="preserve"> held that Petitioner has made such a showing. </w:t>
      </w:r>
      <w:r w:rsidR="007D1A96">
        <w:rPr>
          <w:rFonts w:ascii="Times" w:hAnsi="Times"/>
        </w:rPr>
        <w:t>This is incorrect.</w:t>
      </w:r>
    </w:p>
    <w:p w14:paraId="6A44EDE6" w14:textId="6B62DBBD" w:rsidR="00A64403" w:rsidRDefault="00A64403" w:rsidP="00A944A2">
      <w:pPr>
        <w:spacing w:line="480" w:lineRule="auto"/>
        <w:ind w:firstLine="720"/>
        <w:jc w:val="both"/>
        <w:rPr>
          <w:rFonts w:ascii="Times" w:hAnsi="Times"/>
        </w:rPr>
      </w:pPr>
      <w:r>
        <w:rPr>
          <w:rFonts w:ascii="Times" w:hAnsi="Times"/>
        </w:rPr>
        <w:t>The record clearly demonstrates</w:t>
      </w:r>
      <w:r w:rsidR="00E006E2">
        <w:rPr>
          <w:rFonts w:ascii="Times" w:hAnsi="Times"/>
        </w:rPr>
        <w:t xml:space="preserve"> that Petitioner intends to engage in conduct proscribed by </w:t>
      </w:r>
      <w:r w:rsidR="00C44973">
        <w:rPr>
          <w:rFonts w:ascii="Times" w:hAnsi="Times"/>
        </w:rPr>
        <w:t xml:space="preserve">the Public Accommodation Clause of </w:t>
      </w:r>
      <w:r w:rsidR="00E006E2">
        <w:rPr>
          <w:rFonts w:ascii="Times" w:hAnsi="Times"/>
        </w:rPr>
        <w:t xml:space="preserve">CADA. </w:t>
      </w:r>
      <w:r>
        <w:rPr>
          <w:rFonts w:ascii="Times" w:hAnsi="Times"/>
        </w:rPr>
        <w:t xml:space="preserve">This is evidenced by the statement </w:t>
      </w:r>
      <w:r w:rsidR="00E006E2">
        <w:rPr>
          <w:rFonts w:ascii="Times" w:hAnsi="Times"/>
        </w:rPr>
        <w:t>she intends to publish, which reads, “I will not be able to create websites for same-sex marriages.”</w:t>
      </w:r>
      <w:r w:rsidR="0080561E">
        <w:rPr>
          <w:rFonts w:ascii="Times" w:hAnsi="Times"/>
        </w:rPr>
        <w:t xml:space="preserve"> (J.A. at 30).</w:t>
      </w:r>
      <w:r w:rsidR="00E006E2">
        <w:rPr>
          <w:rFonts w:ascii="Times" w:hAnsi="Times"/>
        </w:rPr>
        <w:t xml:space="preserve"> </w:t>
      </w:r>
      <w:r>
        <w:rPr>
          <w:rFonts w:ascii="Times" w:hAnsi="Times"/>
        </w:rPr>
        <w:lastRenderedPageBreak/>
        <w:t>The statement plainly communicates that Petitioner will deny the “full and equal enjoyment” of her services because of a same-sex couples’ sexual orientation. Thus, it the first two factors in determining whether there is an injury in fact have been satisfied.</w:t>
      </w:r>
    </w:p>
    <w:p w14:paraId="284D9D32" w14:textId="1389D486" w:rsidR="000A2FBE" w:rsidRDefault="000A2FBE" w:rsidP="00A944A2">
      <w:pPr>
        <w:spacing w:line="480" w:lineRule="auto"/>
        <w:ind w:firstLine="720"/>
        <w:jc w:val="both"/>
        <w:rPr>
          <w:rFonts w:ascii="Times" w:hAnsi="Times"/>
        </w:rPr>
      </w:pPr>
      <w:r>
        <w:rPr>
          <w:rFonts w:ascii="Times" w:hAnsi="Times"/>
        </w:rPr>
        <w:t>Petitioner points to three factors, which th</w:t>
      </w:r>
      <w:r w:rsidR="00452BB2">
        <w:rPr>
          <w:rFonts w:ascii="Times" w:hAnsi="Times"/>
        </w:rPr>
        <w:t>e</w:t>
      </w:r>
      <w:r>
        <w:rPr>
          <w:rFonts w:ascii="Times" w:hAnsi="Times"/>
        </w:rPr>
        <w:t xml:space="preserve"> Court considered in </w:t>
      </w:r>
      <w:r w:rsidRPr="00A74460">
        <w:rPr>
          <w:rFonts w:ascii="Times" w:hAnsi="Times"/>
          <w:i/>
          <w:iCs/>
        </w:rPr>
        <w:t>SBA</w:t>
      </w:r>
      <w:r>
        <w:rPr>
          <w:rFonts w:ascii="Times" w:hAnsi="Times"/>
        </w:rPr>
        <w:t>, when deciding whether there was a credible fear of prosecution; the third factor in determining whether there has been an injury in fact. Petitioner must demonstrate: (1) there has been past enforcement against the same conduct Petitioner is engaged in; (2) that any individual could complain of Petitioner’s actions; and (3) that the state has not disavowed future enforcement.</w:t>
      </w:r>
      <w:r w:rsidRPr="000A2FBE">
        <w:rPr>
          <w:rFonts w:ascii="Times" w:hAnsi="Times"/>
          <w:i/>
          <w:iCs/>
        </w:rPr>
        <w:t xml:space="preserve"> See</w:t>
      </w:r>
      <w:r>
        <w:rPr>
          <w:rFonts w:ascii="Times" w:hAnsi="Times"/>
        </w:rPr>
        <w:t xml:space="preserve"> </w:t>
      </w:r>
      <w:r w:rsidRPr="00B50828">
        <w:rPr>
          <w:rFonts w:ascii="Times" w:hAnsi="Times"/>
          <w:i/>
          <w:iCs/>
        </w:rPr>
        <w:t>Susan B. Anthony</w:t>
      </w:r>
      <w:r w:rsidRPr="00B50828">
        <w:rPr>
          <w:rFonts w:ascii="Times" w:hAnsi="Times"/>
        </w:rPr>
        <w:t xml:space="preserve">, 573 U.S. at </w:t>
      </w:r>
      <w:r>
        <w:rPr>
          <w:rFonts w:ascii="Times" w:hAnsi="Times"/>
        </w:rPr>
        <w:t>164.</w:t>
      </w:r>
    </w:p>
    <w:p w14:paraId="46C93B46" w14:textId="12674DB3" w:rsidR="00C01E8B" w:rsidRDefault="006E1597" w:rsidP="00A944A2">
      <w:pPr>
        <w:spacing w:line="480" w:lineRule="auto"/>
        <w:ind w:firstLine="720"/>
        <w:jc w:val="both"/>
        <w:rPr>
          <w:rFonts w:ascii="Times" w:hAnsi="Times"/>
        </w:rPr>
      </w:pPr>
      <w:r>
        <w:rPr>
          <w:rFonts w:ascii="Times" w:hAnsi="Times"/>
        </w:rPr>
        <w:t xml:space="preserve">The Tenth Circuit </w:t>
      </w:r>
      <w:r w:rsidR="006C37EC">
        <w:rPr>
          <w:rFonts w:ascii="Times" w:hAnsi="Times"/>
        </w:rPr>
        <w:t xml:space="preserve">Court of Appeals </w:t>
      </w:r>
      <w:r>
        <w:rPr>
          <w:rFonts w:ascii="Times" w:hAnsi="Times"/>
        </w:rPr>
        <w:t xml:space="preserve">concluded that Colorado does have a history of enforcement, namely, </w:t>
      </w:r>
      <w:r w:rsidRPr="00A74460">
        <w:rPr>
          <w:rFonts w:ascii="Times" w:hAnsi="Times"/>
          <w:i/>
          <w:iCs/>
        </w:rPr>
        <w:t>Masterpiece Cakeshop</w:t>
      </w:r>
      <w:r>
        <w:rPr>
          <w:rFonts w:ascii="Times" w:hAnsi="Times"/>
          <w:i/>
          <w:iCs/>
        </w:rPr>
        <w:t>, Ltd. v. Colo. Civil Rights Comm’n</w:t>
      </w:r>
      <w:r w:rsidR="006C37EC">
        <w:rPr>
          <w:rFonts w:ascii="Times" w:hAnsi="Times"/>
        </w:rPr>
        <w:t>, 2017 U.S. Lexis 4226 (2017)</w:t>
      </w:r>
      <w:r>
        <w:rPr>
          <w:rFonts w:ascii="Times" w:hAnsi="Times"/>
        </w:rPr>
        <w:t xml:space="preserve">. However, there </w:t>
      </w:r>
      <w:r w:rsidR="00C01E8B">
        <w:rPr>
          <w:rFonts w:ascii="Times" w:hAnsi="Times"/>
        </w:rPr>
        <w:t xml:space="preserve">is an important distinction between </w:t>
      </w:r>
      <w:r w:rsidR="00C01E8B" w:rsidRPr="006C37EC">
        <w:rPr>
          <w:rFonts w:ascii="Times" w:hAnsi="Times"/>
          <w:i/>
          <w:iCs/>
        </w:rPr>
        <w:t>Masterpiece Cakeshop</w:t>
      </w:r>
      <w:r w:rsidR="00C01E8B">
        <w:rPr>
          <w:rFonts w:ascii="Times" w:hAnsi="Times"/>
        </w:rPr>
        <w:t xml:space="preserve"> and the case before the Court. There must be evidence of past enforcement against the “same conduct.” </w:t>
      </w:r>
      <w:r w:rsidR="00C01E8B" w:rsidRPr="000A2FBE">
        <w:rPr>
          <w:rFonts w:ascii="Times" w:hAnsi="Times"/>
          <w:i/>
          <w:iCs/>
        </w:rPr>
        <w:t>See</w:t>
      </w:r>
      <w:r w:rsidR="00C01E8B">
        <w:rPr>
          <w:rFonts w:ascii="Times" w:hAnsi="Times"/>
        </w:rPr>
        <w:t xml:space="preserve"> </w:t>
      </w:r>
      <w:r w:rsidR="00C01E8B" w:rsidRPr="00B50828">
        <w:rPr>
          <w:rFonts w:ascii="Times" w:hAnsi="Times"/>
          <w:i/>
          <w:iCs/>
        </w:rPr>
        <w:t>Susan B. Anthony</w:t>
      </w:r>
      <w:r w:rsidR="00C01E8B" w:rsidRPr="00B50828">
        <w:rPr>
          <w:rFonts w:ascii="Times" w:hAnsi="Times"/>
        </w:rPr>
        <w:t xml:space="preserve">, 573 U.S. at </w:t>
      </w:r>
      <w:r w:rsidR="00C01E8B">
        <w:rPr>
          <w:rFonts w:ascii="Times" w:hAnsi="Times"/>
        </w:rPr>
        <w:t xml:space="preserve">150. The record does not demonstrate that there has been any enforcement by Colorado regarding denials of wedding websites for same-sex couples. </w:t>
      </w:r>
      <w:r w:rsidR="00BA45DF">
        <w:rPr>
          <w:rFonts w:ascii="Times" w:hAnsi="Times"/>
        </w:rPr>
        <w:t>Thus, Petitioner cannot prevail on a demonstration of past enforcement</w:t>
      </w:r>
      <w:r w:rsidR="006C37EC">
        <w:rPr>
          <w:rFonts w:ascii="Times" w:hAnsi="Times"/>
        </w:rPr>
        <w:t xml:space="preserve">. Failure to demonstrate one of the three factors </w:t>
      </w:r>
      <w:r w:rsidR="00BA45DF">
        <w:rPr>
          <w:rFonts w:ascii="Times" w:hAnsi="Times"/>
        </w:rPr>
        <w:t>preclud</w:t>
      </w:r>
      <w:r w:rsidR="006C37EC">
        <w:rPr>
          <w:rFonts w:ascii="Times" w:hAnsi="Times"/>
        </w:rPr>
        <w:t>es</w:t>
      </w:r>
      <w:r w:rsidR="00BA45DF">
        <w:rPr>
          <w:rFonts w:ascii="Times" w:hAnsi="Times"/>
        </w:rPr>
        <w:t xml:space="preserve"> a </w:t>
      </w:r>
      <w:r w:rsidR="006C37EC">
        <w:rPr>
          <w:rFonts w:ascii="Times" w:hAnsi="Times"/>
        </w:rPr>
        <w:t>finding</w:t>
      </w:r>
      <w:r w:rsidR="00BA45DF">
        <w:rPr>
          <w:rFonts w:ascii="Times" w:hAnsi="Times"/>
        </w:rPr>
        <w:t xml:space="preserve"> of injury in</w:t>
      </w:r>
      <w:r w:rsidR="00060687">
        <w:rPr>
          <w:rFonts w:ascii="Times" w:hAnsi="Times"/>
        </w:rPr>
        <w:t>-</w:t>
      </w:r>
      <w:r w:rsidR="00BA45DF">
        <w:rPr>
          <w:rFonts w:ascii="Times" w:hAnsi="Times"/>
        </w:rPr>
        <w:t>fact</w:t>
      </w:r>
      <w:r w:rsidR="006C37EC">
        <w:rPr>
          <w:rFonts w:ascii="Times" w:hAnsi="Times"/>
        </w:rPr>
        <w:t xml:space="preserve"> because the standard </w:t>
      </w:r>
      <w:r w:rsidR="00060687">
        <w:rPr>
          <w:rFonts w:ascii="Times" w:hAnsi="Times"/>
        </w:rPr>
        <w:t>authored by th</w:t>
      </w:r>
      <w:r w:rsidR="00F25031">
        <w:rPr>
          <w:rFonts w:ascii="Times" w:hAnsi="Times"/>
        </w:rPr>
        <w:t>e</w:t>
      </w:r>
      <w:r w:rsidR="00060687">
        <w:rPr>
          <w:rFonts w:ascii="Times" w:hAnsi="Times"/>
        </w:rPr>
        <w:t xml:space="preserve"> Court uses the conjunction “and.”</w:t>
      </w:r>
      <w:r w:rsidR="00BA45DF">
        <w:rPr>
          <w:rFonts w:ascii="Times" w:hAnsi="Times"/>
        </w:rPr>
        <w:t xml:space="preserve"> But even if Petitioner was able to demonstrate past enforcement, she must further meet the following two factors.</w:t>
      </w:r>
    </w:p>
    <w:p w14:paraId="0F1B735A" w14:textId="6114FDAE" w:rsidR="00464F92" w:rsidRDefault="00BA45DF" w:rsidP="00A944A2">
      <w:pPr>
        <w:spacing w:line="480" w:lineRule="auto"/>
        <w:ind w:firstLine="720"/>
        <w:jc w:val="both"/>
        <w:rPr>
          <w:rFonts w:ascii="Times" w:hAnsi="Times"/>
        </w:rPr>
      </w:pPr>
      <w:r>
        <w:rPr>
          <w:rFonts w:ascii="Times" w:hAnsi="Times"/>
        </w:rPr>
        <w:t>The second factor th</w:t>
      </w:r>
      <w:r w:rsidR="00452BB2">
        <w:rPr>
          <w:rFonts w:ascii="Times" w:hAnsi="Times"/>
        </w:rPr>
        <w:t>e</w:t>
      </w:r>
      <w:r>
        <w:rPr>
          <w:rFonts w:ascii="Times" w:hAnsi="Times"/>
        </w:rPr>
        <w:t xml:space="preserve"> Court must consider is whether any individual could complain of Petitioner’s actions. The Court of Appeals </w:t>
      </w:r>
      <w:r w:rsidR="00464F92">
        <w:rPr>
          <w:rFonts w:ascii="Times" w:hAnsi="Times"/>
        </w:rPr>
        <w:t>stated that Colorado should not assume that Petitioner’s enterprise will fail to attract customers, nor should it be assumed only opposite-sex couples request wedding websites thereby opening the door to complaints.</w:t>
      </w:r>
      <w:r w:rsidR="00464F92" w:rsidRPr="009D52A1">
        <w:rPr>
          <w:rFonts w:ascii="Times" w:hAnsi="Times"/>
          <w:i/>
          <w:iCs/>
        </w:rPr>
        <w:t xml:space="preserve"> 303 Creative v. </w:t>
      </w:r>
      <w:proofErr w:type="spellStart"/>
      <w:r w:rsidR="00464F92" w:rsidRPr="009D52A1">
        <w:rPr>
          <w:rFonts w:ascii="Times" w:hAnsi="Times"/>
          <w:i/>
          <w:iCs/>
        </w:rPr>
        <w:t>Elenis</w:t>
      </w:r>
      <w:proofErr w:type="spellEnd"/>
      <w:r w:rsidR="00464F92" w:rsidRPr="009D52A1">
        <w:rPr>
          <w:rFonts w:ascii="Times" w:hAnsi="Times"/>
          <w:i/>
          <w:iCs/>
        </w:rPr>
        <w:t xml:space="preserve">, </w:t>
      </w:r>
      <w:r w:rsidR="00464F92" w:rsidRPr="00EC5998">
        <w:rPr>
          <w:rFonts w:ascii="Times" w:hAnsi="Times"/>
        </w:rPr>
        <w:t xml:space="preserve">6 F.4th 1160, </w:t>
      </w:r>
      <w:r w:rsidR="00464F92" w:rsidRPr="00EC5998">
        <w:rPr>
          <w:rFonts w:ascii="Times" w:hAnsi="Times"/>
        </w:rPr>
        <w:lastRenderedPageBreak/>
        <w:t>1173 (2021)</w:t>
      </w:r>
      <w:r w:rsidR="00464F92" w:rsidRPr="009D52A1">
        <w:rPr>
          <w:rFonts w:ascii="Times" w:hAnsi="Times"/>
          <w:i/>
          <w:iCs/>
        </w:rPr>
        <w:t>.</w:t>
      </w:r>
      <w:r w:rsidR="00464F92">
        <w:rPr>
          <w:rFonts w:ascii="Times" w:hAnsi="Times"/>
          <w:i/>
          <w:iCs/>
        </w:rPr>
        <w:t xml:space="preserve"> </w:t>
      </w:r>
      <w:r w:rsidR="00464F92">
        <w:rPr>
          <w:rFonts w:ascii="Times" w:hAnsi="Times"/>
        </w:rPr>
        <w:t xml:space="preserve">However, there is equally no basis for the court to assume that same-sex couples will want to engage Petitioner’s enterprise. Thus, while the logic is flawed, the conclusion the </w:t>
      </w:r>
      <w:r w:rsidR="00060687">
        <w:rPr>
          <w:rFonts w:ascii="Times" w:hAnsi="Times"/>
        </w:rPr>
        <w:t>Court of Appeals</w:t>
      </w:r>
      <w:r w:rsidR="00464F92">
        <w:rPr>
          <w:rFonts w:ascii="Times" w:hAnsi="Times"/>
        </w:rPr>
        <w:t xml:space="preserve"> reaches is correct. The operative word in the </w:t>
      </w:r>
      <w:r w:rsidR="00060687">
        <w:rPr>
          <w:rFonts w:ascii="Times" w:hAnsi="Times"/>
        </w:rPr>
        <w:t xml:space="preserve">second </w:t>
      </w:r>
      <w:r w:rsidR="00464F92">
        <w:rPr>
          <w:rFonts w:ascii="Times" w:hAnsi="Times"/>
        </w:rPr>
        <w:t xml:space="preserve">factor is </w:t>
      </w:r>
      <w:r w:rsidR="00464F92" w:rsidRPr="00464F92">
        <w:rPr>
          <w:rFonts w:ascii="Times" w:hAnsi="Times"/>
          <w:i/>
          <w:iCs/>
        </w:rPr>
        <w:t>any</w:t>
      </w:r>
      <w:r w:rsidR="00464F92">
        <w:rPr>
          <w:rFonts w:ascii="Times" w:hAnsi="Times"/>
        </w:rPr>
        <w:t xml:space="preserve">. There may be </w:t>
      </w:r>
      <w:r w:rsidR="00060687">
        <w:rPr>
          <w:rFonts w:ascii="Times" w:hAnsi="Times"/>
        </w:rPr>
        <w:t>an array</w:t>
      </w:r>
      <w:r w:rsidR="00464F92">
        <w:rPr>
          <w:rFonts w:ascii="Times" w:hAnsi="Times"/>
        </w:rPr>
        <w:t xml:space="preserve"> individual</w:t>
      </w:r>
      <w:r w:rsidR="00060687">
        <w:rPr>
          <w:rFonts w:ascii="Times" w:hAnsi="Times"/>
        </w:rPr>
        <w:t>s</w:t>
      </w:r>
      <w:r w:rsidR="00464F92">
        <w:rPr>
          <w:rFonts w:ascii="Times" w:hAnsi="Times"/>
        </w:rPr>
        <w:t xml:space="preserve"> and couples requesting a cake on behalf of a same-sex couple</w:t>
      </w:r>
      <w:r w:rsidR="00060687">
        <w:rPr>
          <w:rFonts w:ascii="Times" w:hAnsi="Times"/>
        </w:rPr>
        <w:t xml:space="preserve"> that are denied service and subsequently</w:t>
      </w:r>
      <w:r w:rsidR="00464F92">
        <w:rPr>
          <w:rFonts w:ascii="Times" w:hAnsi="Times"/>
        </w:rPr>
        <w:t xml:space="preserve"> file a complaint. Therefore, it </w:t>
      </w:r>
      <w:r w:rsidR="007D1A96">
        <w:rPr>
          <w:rFonts w:ascii="Times" w:hAnsi="Times"/>
        </w:rPr>
        <w:t>can be</w:t>
      </w:r>
      <w:r w:rsidR="00464F92">
        <w:rPr>
          <w:rFonts w:ascii="Times" w:hAnsi="Times"/>
        </w:rPr>
        <w:t xml:space="preserve"> established that any individual could file complaint against Petitioner.</w:t>
      </w:r>
    </w:p>
    <w:p w14:paraId="131681D2" w14:textId="0B36EBF6" w:rsidR="00E11083" w:rsidRDefault="00464F92" w:rsidP="00A944A2">
      <w:pPr>
        <w:spacing w:line="480" w:lineRule="auto"/>
        <w:ind w:firstLine="720"/>
        <w:jc w:val="both"/>
        <w:rPr>
          <w:rFonts w:ascii="Times" w:hAnsi="Times"/>
        </w:rPr>
      </w:pPr>
      <w:r>
        <w:rPr>
          <w:rFonts w:ascii="Times" w:hAnsi="Times"/>
        </w:rPr>
        <w:t xml:space="preserve">Petitioner has failed to demonstrate that Colorado </w:t>
      </w:r>
      <w:r w:rsidR="00E11083">
        <w:rPr>
          <w:rFonts w:ascii="Times" w:hAnsi="Times"/>
        </w:rPr>
        <w:t>has not disavowed future enforcement.</w:t>
      </w:r>
      <w:r>
        <w:rPr>
          <w:rFonts w:ascii="Times" w:hAnsi="Times"/>
        </w:rPr>
        <w:t xml:space="preserve"> </w:t>
      </w:r>
      <w:r w:rsidR="00E11083">
        <w:rPr>
          <w:rFonts w:ascii="Times" w:hAnsi="Times"/>
        </w:rPr>
        <w:t xml:space="preserve">States do not need to refute and eliminate all possible risk that the statute might be enforced. To require such a position would be to require the impossible. Our system of government permits </w:t>
      </w:r>
      <w:r w:rsidR="00E11083" w:rsidRPr="006607EC">
        <w:rPr>
          <w:rFonts w:ascii="Times" w:hAnsi="Times"/>
          <w:i/>
          <w:iCs/>
        </w:rPr>
        <w:t>some</w:t>
      </w:r>
      <w:r w:rsidR="00E11083">
        <w:rPr>
          <w:rFonts w:ascii="Times" w:hAnsi="Times"/>
        </w:rPr>
        <w:t xml:space="preserve"> executive discretion and thus some agency discretion. While it is not the position of th</w:t>
      </w:r>
      <w:r w:rsidR="00452BB2">
        <w:rPr>
          <w:rFonts w:ascii="Times" w:hAnsi="Times"/>
        </w:rPr>
        <w:t>e</w:t>
      </w:r>
      <w:r w:rsidR="00E11083">
        <w:rPr>
          <w:rFonts w:ascii="Times" w:hAnsi="Times"/>
        </w:rPr>
        <w:t xml:space="preserve"> Court that plaintiffs must demonstrate that the state has never disavowed enforcement, plaintiffs must demonstrate the state has routinely and regularly prosecuted for </w:t>
      </w:r>
      <w:r w:rsidR="00060687">
        <w:rPr>
          <w:rFonts w:ascii="Times" w:hAnsi="Times"/>
        </w:rPr>
        <w:t>the same</w:t>
      </w:r>
      <w:r w:rsidR="00E11083">
        <w:rPr>
          <w:rFonts w:ascii="Times" w:hAnsi="Times"/>
        </w:rPr>
        <w:t xml:space="preserve"> conduct. As a matter of efficacy, Colorado cannot and does not prosecute every instance of alleged discrimination. This may occur because of failure to report, lack of resources, or other such reasons that do not warrant the speculative time of th</w:t>
      </w:r>
      <w:r w:rsidR="00F25031">
        <w:rPr>
          <w:rFonts w:ascii="Times" w:hAnsi="Times"/>
        </w:rPr>
        <w:t>e</w:t>
      </w:r>
      <w:r w:rsidR="00E11083">
        <w:rPr>
          <w:rFonts w:ascii="Times" w:hAnsi="Times"/>
        </w:rPr>
        <w:t xml:space="preserve"> Court. But merely citing one case, which is distinguish</w:t>
      </w:r>
      <w:r w:rsidR="00060687">
        <w:rPr>
          <w:rFonts w:ascii="Times" w:hAnsi="Times"/>
        </w:rPr>
        <w:t>able</w:t>
      </w:r>
      <w:r w:rsidR="00E11083">
        <w:rPr>
          <w:rFonts w:ascii="Times" w:hAnsi="Times"/>
        </w:rPr>
        <w:t xml:space="preserve"> from the one before </w:t>
      </w:r>
      <w:r w:rsidR="00452BB2">
        <w:rPr>
          <w:rFonts w:ascii="Times" w:hAnsi="Times"/>
        </w:rPr>
        <w:t>the Court</w:t>
      </w:r>
      <w:r w:rsidR="00E11083">
        <w:rPr>
          <w:rFonts w:ascii="Times" w:hAnsi="Times"/>
        </w:rPr>
        <w:t xml:space="preserve">, is insufficient to prevail. </w:t>
      </w:r>
    </w:p>
    <w:p w14:paraId="61109ED6" w14:textId="1C4D079E" w:rsidR="00060687" w:rsidRDefault="00060687" w:rsidP="00060687">
      <w:pPr>
        <w:spacing w:line="480" w:lineRule="auto"/>
        <w:ind w:firstLine="720"/>
        <w:jc w:val="both"/>
        <w:rPr>
          <w:rFonts w:ascii="Times" w:hAnsi="Times"/>
        </w:rPr>
      </w:pPr>
      <w:r>
        <w:rPr>
          <w:rFonts w:ascii="Times" w:hAnsi="Times"/>
        </w:rPr>
        <w:t xml:space="preserve">Three cases bear repeating to further illuminate the satisfaction requirement for fear of prosecution. In </w:t>
      </w:r>
      <w:proofErr w:type="spellStart"/>
      <w:r w:rsidRPr="009B4171">
        <w:rPr>
          <w:rFonts w:ascii="Times" w:hAnsi="Times"/>
          <w:i/>
          <w:iCs/>
        </w:rPr>
        <w:t>Steffel</w:t>
      </w:r>
      <w:proofErr w:type="spellEnd"/>
      <w:r w:rsidRPr="009B4171">
        <w:rPr>
          <w:rFonts w:ascii="Times" w:hAnsi="Times"/>
          <w:i/>
          <w:iCs/>
        </w:rPr>
        <w:t xml:space="preserve"> v. Thompson</w:t>
      </w:r>
      <w:r>
        <w:rPr>
          <w:rFonts w:ascii="Times" w:hAnsi="Times"/>
        </w:rPr>
        <w:t xml:space="preserve">, </w:t>
      </w:r>
      <w:r w:rsidRPr="00943E57">
        <w:rPr>
          <w:rFonts w:ascii="Times" w:hAnsi="Times"/>
        </w:rPr>
        <w:t>415 U.S. 452, 459 (1974)</w:t>
      </w:r>
      <w:r>
        <w:rPr>
          <w:rFonts w:ascii="Times" w:hAnsi="Times"/>
        </w:rPr>
        <w:t xml:space="preserve">, </w:t>
      </w:r>
      <w:r w:rsidR="00452BB2">
        <w:rPr>
          <w:rFonts w:ascii="Times" w:hAnsi="Times"/>
        </w:rPr>
        <w:t>the Court</w:t>
      </w:r>
      <w:r>
        <w:rPr>
          <w:rFonts w:ascii="Times" w:hAnsi="Times"/>
        </w:rPr>
        <w:t xml:space="preserve"> held that petitioner had a credible fear of prosecution because he “had been warned to stop </w:t>
      </w:r>
      <w:proofErr w:type="spellStart"/>
      <w:r>
        <w:rPr>
          <w:rFonts w:ascii="Times" w:hAnsi="Times"/>
        </w:rPr>
        <w:t>handbilling</w:t>
      </w:r>
      <w:proofErr w:type="spellEnd"/>
      <w:r>
        <w:rPr>
          <w:rFonts w:ascii="Times" w:hAnsi="Times"/>
        </w:rPr>
        <w:t xml:space="preserve"> and threatened with prosecution if he disobeyed” and continued to express a desire to engage in such conduct. In </w:t>
      </w:r>
      <w:r w:rsidRPr="009B4171">
        <w:rPr>
          <w:rFonts w:ascii="Times" w:hAnsi="Times"/>
          <w:i/>
          <w:iCs/>
        </w:rPr>
        <w:t>Babb</w:t>
      </w:r>
      <w:r>
        <w:rPr>
          <w:rFonts w:ascii="Times" w:hAnsi="Times"/>
          <w:i/>
          <w:iCs/>
        </w:rPr>
        <w:t xml:space="preserve">itt, 442 U.S. </w:t>
      </w:r>
      <w:r>
        <w:rPr>
          <w:rFonts w:ascii="Times" w:hAnsi="Times"/>
        </w:rPr>
        <w:t xml:space="preserve">at 298, plaintiff “‘had actively engaged in consumer publicity in the past’ and alleged ‘an intention to continue’ those campaigns in the future.” In the last case of note, </w:t>
      </w:r>
      <w:r w:rsidRPr="009B4171">
        <w:rPr>
          <w:rFonts w:ascii="Times" w:hAnsi="Times"/>
          <w:i/>
          <w:iCs/>
        </w:rPr>
        <w:t>Holder v. Humanitarian Law Project</w:t>
      </w:r>
      <w:r>
        <w:rPr>
          <w:rFonts w:ascii="Times" w:hAnsi="Times"/>
        </w:rPr>
        <w:t xml:space="preserve">, </w:t>
      </w:r>
      <w:r w:rsidRPr="00EC5998">
        <w:rPr>
          <w:rFonts w:ascii="Times" w:hAnsi="Times"/>
        </w:rPr>
        <w:t>561 U.S. 1, 15 (2010)</w:t>
      </w:r>
      <w:r>
        <w:rPr>
          <w:rFonts w:ascii="Times" w:hAnsi="Times"/>
        </w:rPr>
        <w:t xml:space="preserve">, </w:t>
      </w:r>
      <w:r w:rsidR="00452BB2">
        <w:rPr>
          <w:rFonts w:ascii="Times" w:hAnsi="Times"/>
        </w:rPr>
        <w:t>the Court</w:t>
      </w:r>
      <w:r>
        <w:rPr>
          <w:rFonts w:ascii="Times" w:hAnsi="Times"/>
        </w:rPr>
        <w:t xml:space="preserve"> found a credible fear of prosecution </w:t>
      </w:r>
      <w:r>
        <w:rPr>
          <w:rFonts w:ascii="Times" w:hAnsi="Times"/>
        </w:rPr>
        <w:lastRenderedPageBreak/>
        <w:t>because the “plaintiffs claimed that they had provided support to groups designated as terrorists’ organizations prior to the law’s enactment and would provide similar support in the future.”</w:t>
      </w:r>
    </w:p>
    <w:p w14:paraId="641D7BF3" w14:textId="533EFC5F" w:rsidR="00EB6B09" w:rsidRDefault="009B4171" w:rsidP="00A944A2">
      <w:pPr>
        <w:spacing w:line="480" w:lineRule="auto"/>
        <w:ind w:firstLine="720"/>
        <w:jc w:val="both"/>
        <w:rPr>
          <w:rFonts w:ascii="Times" w:hAnsi="Times"/>
        </w:rPr>
      </w:pPr>
      <w:r>
        <w:rPr>
          <w:rFonts w:ascii="Times" w:hAnsi="Times"/>
        </w:rPr>
        <w:t xml:space="preserve">Common to each of the </w:t>
      </w:r>
      <w:r w:rsidR="00C07140">
        <w:rPr>
          <w:rFonts w:ascii="Times" w:hAnsi="Times"/>
        </w:rPr>
        <w:t xml:space="preserve">cases put forth at the outset of analyzing the fear of prosecution factor was </w:t>
      </w:r>
      <w:r>
        <w:rPr>
          <w:rFonts w:ascii="Times" w:hAnsi="Times"/>
        </w:rPr>
        <w:t xml:space="preserve">that the petitioner or plaintiff was already engaged in the behavior, whether before or during the law’s enactment. </w:t>
      </w:r>
      <w:r w:rsidR="00C07140">
        <w:rPr>
          <w:rFonts w:ascii="Times" w:hAnsi="Times"/>
        </w:rPr>
        <w:t>Petitioner fails to demonstrate that she has in the past or before CADA’s enactment denied wedding websites to same-sex couples. Petitioner merely asserts an intention to do so.</w:t>
      </w:r>
      <w:r>
        <w:rPr>
          <w:rFonts w:ascii="Times" w:hAnsi="Times"/>
        </w:rPr>
        <w:t xml:space="preserve"> </w:t>
      </w:r>
      <w:r w:rsidR="00BA6395">
        <w:rPr>
          <w:rFonts w:ascii="Times" w:hAnsi="Times"/>
        </w:rPr>
        <w:t xml:space="preserve">Since </w:t>
      </w:r>
      <w:r w:rsidR="00452BB2">
        <w:rPr>
          <w:rFonts w:ascii="Times" w:hAnsi="Times"/>
        </w:rPr>
        <w:t>the Court should</w:t>
      </w:r>
      <w:r w:rsidR="00BA6395">
        <w:rPr>
          <w:rFonts w:ascii="Times" w:hAnsi="Times"/>
        </w:rPr>
        <w:t xml:space="preserve"> conclud that the injury in fact requirement has not been meet, </w:t>
      </w:r>
      <w:r w:rsidR="00452BB2">
        <w:rPr>
          <w:rFonts w:ascii="Times" w:hAnsi="Times"/>
        </w:rPr>
        <w:t>it</w:t>
      </w:r>
      <w:r w:rsidR="00BA6395">
        <w:rPr>
          <w:rFonts w:ascii="Times" w:hAnsi="Times"/>
        </w:rPr>
        <w:t xml:space="preserve"> do</w:t>
      </w:r>
      <w:r w:rsidR="00452BB2">
        <w:rPr>
          <w:rFonts w:ascii="Times" w:hAnsi="Times"/>
        </w:rPr>
        <w:t>es</w:t>
      </w:r>
      <w:r w:rsidR="00BA6395">
        <w:rPr>
          <w:rFonts w:ascii="Times" w:hAnsi="Times"/>
        </w:rPr>
        <w:t xml:space="preserve"> not need to address the remaining two factors</w:t>
      </w:r>
      <w:r w:rsidR="00060687">
        <w:rPr>
          <w:rFonts w:ascii="Times" w:hAnsi="Times"/>
        </w:rPr>
        <w:t xml:space="preserve"> as the Petitioner would need to meet all three to be deemed to have standing.</w:t>
      </w:r>
    </w:p>
    <w:p w14:paraId="289C19B4" w14:textId="77777777" w:rsidR="004C2DEF" w:rsidRDefault="004C2DEF" w:rsidP="004C2DEF">
      <w:pPr>
        <w:ind w:firstLine="720"/>
        <w:jc w:val="both"/>
        <w:rPr>
          <w:rFonts w:ascii="Times" w:hAnsi="Times"/>
        </w:rPr>
      </w:pPr>
    </w:p>
    <w:p w14:paraId="1A33AFCD" w14:textId="389A96B3" w:rsidR="00236B02" w:rsidRDefault="00236B02" w:rsidP="00236B02">
      <w:pPr>
        <w:spacing w:line="480" w:lineRule="auto"/>
        <w:jc w:val="center"/>
        <w:rPr>
          <w:rFonts w:ascii="Times" w:hAnsi="Times"/>
        </w:rPr>
      </w:pPr>
      <w:r>
        <w:rPr>
          <w:rFonts w:ascii="Times" w:hAnsi="Times"/>
        </w:rPr>
        <w:t>B.</w:t>
      </w:r>
    </w:p>
    <w:p w14:paraId="2626BC2C" w14:textId="77777777" w:rsidR="004C2DEF" w:rsidRDefault="004C2DEF" w:rsidP="004C2DEF">
      <w:pPr>
        <w:jc w:val="center"/>
        <w:rPr>
          <w:rFonts w:ascii="Times" w:hAnsi="Times"/>
        </w:rPr>
      </w:pPr>
    </w:p>
    <w:p w14:paraId="2B777D2C" w14:textId="37BCB8D4" w:rsidR="00577BFA" w:rsidRDefault="00BA6395" w:rsidP="00A944A2">
      <w:pPr>
        <w:spacing w:line="480" w:lineRule="auto"/>
        <w:ind w:firstLine="720"/>
        <w:jc w:val="both"/>
        <w:rPr>
          <w:rFonts w:ascii="Times" w:hAnsi="Times"/>
        </w:rPr>
      </w:pPr>
      <w:r>
        <w:rPr>
          <w:rFonts w:ascii="Times" w:hAnsi="Times"/>
        </w:rPr>
        <w:t xml:space="preserve">Alternatively, </w:t>
      </w:r>
      <w:r w:rsidR="00060687">
        <w:rPr>
          <w:rFonts w:ascii="Times" w:hAnsi="Times"/>
        </w:rPr>
        <w:t xml:space="preserve">however, </w:t>
      </w:r>
      <w:r w:rsidR="00574778">
        <w:rPr>
          <w:rFonts w:ascii="Times" w:hAnsi="Times"/>
        </w:rPr>
        <w:t>the Court</w:t>
      </w:r>
      <w:r w:rsidR="009C1E88">
        <w:rPr>
          <w:rFonts w:ascii="Times" w:hAnsi="Times"/>
        </w:rPr>
        <w:t xml:space="preserve"> must address the issue of ripeness. As th</w:t>
      </w:r>
      <w:r w:rsidR="00574778">
        <w:rPr>
          <w:rFonts w:ascii="Times" w:hAnsi="Times"/>
        </w:rPr>
        <w:t>e</w:t>
      </w:r>
      <w:r w:rsidR="009C1E88">
        <w:rPr>
          <w:rFonts w:ascii="Times" w:hAnsi="Times"/>
        </w:rPr>
        <w:t xml:space="preserve"> Court said in </w:t>
      </w:r>
      <w:r w:rsidR="009C1E88" w:rsidRPr="009C1E88">
        <w:rPr>
          <w:rFonts w:ascii="Times" w:hAnsi="Times"/>
          <w:i/>
          <w:iCs/>
        </w:rPr>
        <w:t>SBA</w:t>
      </w:r>
      <w:r w:rsidR="009C1E88">
        <w:rPr>
          <w:rFonts w:ascii="Times" w:hAnsi="Times"/>
        </w:rPr>
        <w:t xml:space="preserve">, the three factors that must be considered are: (1) the likelihood that the alleged harm would come to pass; (2) whether the factual record was sufficiently developed; and (3) the hardship to the parties if judicial relief were denied. </w:t>
      </w:r>
      <w:r w:rsidR="009C1E88" w:rsidRPr="00B50828">
        <w:rPr>
          <w:rFonts w:ascii="Times" w:hAnsi="Times"/>
          <w:i/>
          <w:iCs/>
        </w:rPr>
        <w:t>Susan B. Anthony</w:t>
      </w:r>
      <w:r w:rsidR="009C1E88" w:rsidRPr="00B50828">
        <w:rPr>
          <w:rFonts w:ascii="Times" w:hAnsi="Times"/>
        </w:rPr>
        <w:t xml:space="preserve">, 573 U.S. at </w:t>
      </w:r>
      <w:r w:rsidR="009C1E88">
        <w:rPr>
          <w:rFonts w:ascii="Times" w:hAnsi="Times"/>
        </w:rPr>
        <w:t xml:space="preserve">156. </w:t>
      </w:r>
      <w:r w:rsidR="00577BFA">
        <w:rPr>
          <w:rFonts w:ascii="Times" w:hAnsi="Times"/>
        </w:rPr>
        <w:t xml:space="preserve">The Court of Appeals found the claim Public Accommodation claim ripe review. </w:t>
      </w:r>
      <w:r w:rsidR="00577BFA" w:rsidRPr="009D52A1">
        <w:rPr>
          <w:rFonts w:ascii="Times" w:hAnsi="Times"/>
          <w:i/>
          <w:iCs/>
        </w:rPr>
        <w:t xml:space="preserve">303 Creative, </w:t>
      </w:r>
      <w:r w:rsidR="00577BFA" w:rsidRPr="00EC5998">
        <w:rPr>
          <w:rFonts w:ascii="Times" w:hAnsi="Times"/>
        </w:rPr>
        <w:t xml:space="preserve">6 F.4th </w:t>
      </w:r>
      <w:r w:rsidR="00577BFA">
        <w:rPr>
          <w:rFonts w:ascii="Times" w:hAnsi="Times"/>
        </w:rPr>
        <w:t>at</w:t>
      </w:r>
      <w:r w:rsidR="00577BFA" w:rsidRPr="00EC5998">
        <w:rPr>
          <w:rFonts w:ascii="Times" w:hAnsi="Times"/>
        </w:rPr>
        <w:t xml:space="preserve"> 117</w:t>
      </w:r>
      <w:r w:rsidR="00577BFA">
        <w:rPr>
          <w:rFonts w:ascii="Times" w:hAnsi="Times"/>
        </w:rPr>
        <w:t>5.</w:t>
      </w:r>
      <w:r w:rsidR="00060687">
        <w:rPr>
          <w:rFonts w:ascii="Times" w:hAnsi="Times"/>
        </w:rPr>
        <w:t xml:space="preserve"> </w:t>
      </w:r>
      <w:r w:rsidR="007D1A96">
        <w:rPr>
          <w:rFonts w:ascii="Times" w:hAnsi="Times"/>
        </w:rPr>
        <w:t>This is incorrect</w:t>
      </w:r>
      <w:r w:rsidR="00060687">
        <w:rPr>
          <w:rFonts w:ascii="Times" w:hAnsi="Times"/>
        </w:rPr>
        <w:t>.</w:t>
      </w:r>
    </w:p>
    <w:p w14:paraId="771A8A42" w14:textId="7D18CD7B" w:rsidR="00293863" w:rsidRDefault="00486AEC" w:rsidP="00A944A2">
      <w:pPr>
        <w:spacing w:line="480" w:lineRule="auto"/>
        <w:ind w:firstLine="720"/>
        <w:jc w:val="both"/>
        <w:rPr>
          <w:rFonts w:ascii="Times" w:hAnsi="Times"/>
        </w:rPr>
      </w:pPr>
      <w:r>
        <w:rPr>
          <w:rFonts w:ascii="Times" w:hAnsi="Times"/>
        </w:rPr>
        <w:t xml:space="preserve">While the question of whether this harm would come to pass was answered by </w:t>
      </w:r>
      <w:r w:rsidR="00AC5D95">
        <w:rPr>
          <w:rFonts w:ascii="Times" w:hAnsi="Times"/>
        </w:rPr>
        <w:t xml:space="preserve">the previous </w:t>
      </w:r>
      <w:r>
        <w:rPr>
          <w:rFonts w:ascii="Times" w:hAnsi="Times"/>
        </w:rPr>
        <w:t xml:space="preserve">standing analysis, the remaining two factors must be examined. </w:t>
      </w:r>
      <w:r w:rsidRPr="00486AEC">
        <w:rPr>
          <w:rFonts w:ascii="Times" w:hAnsi="Times"/>
          <w:i/>
          <w:iCs/>
        </w:rPr>
        <w:t xml:space="preserve">See </w:t>
      </w:r>
      <w:proofErr w:type="spellStart"/>
      <w:r w:rsidRPr="00486AEC">
        <w:rPr>
          <w:rFonts w:ascii="Times" w:hAnsi="Times"/>
          <w:i/>
          <w:iCs/>
        </w:rPr>
        <w:t>MedImmune</w:t>
      </w:r>
      <w:proofErr w:type="spellEnd"/>
      <w:r w:rsidRPr="00486AEC">
        <w:rPr>
          <w:rFonts w:ascii="Times" w:hAnsi="Times"/>
          <w:i/>
          <w:iCs/>
        </w:rPr>
        <w:t xml:space="preserve">, Inc. v. Genentech, Inc., </w:t>
      </w:r>
      <w:r w:rsidRPr="00A944A2">
        <w:rPr>
          <w:rFonts w:ascii="Times" w:hAnsi="Times"/>
        </w:rPr>
        <w:t>549 U. S. 118,</w:t>
      </w:r>
      <w:r w:rsidRPr="009C52E3">
        <w:rPr>
          <w:rFonts w:ascii="Times" w:hAnsi="Times"/>
        </w:rPr>
        <w:t xml:space="preserve"> at n. 5 (2007)</w:t>
      </w:r>
      <w:r>
        <w:rPr>
          <w:rFonts w:ascii="Times" w:hAnsi="Times"/>
        </w:rPr>
        <w:t xml:space="preserve"> (stating that standing and ripeness factors may “boil down to the same question” in some instances). </w:t>
      </w:r>
      <w:r w:rsidR="00943E57">
        <w:rPr>
          <w:rFonts w:ascii="Times" w:hAnsi="Times"/>
        </w:rPr>
        <w:t>Starting</w:t>
      </w:r>
      <w:r>
        <w:rPr>
          <w:rFonts w:ascii="Times" w:hAnsi="Times"/>
        </w:rPr>
        <w:t xml:space="preserve"> with </w:t>
      </w:r>
      <w:r w:rsidR="00060687">
        <w:rPr>
          <w:rFonts w:ascii="Times" w:hAnsi="Times"/>
        </w:rPr>
        <w:t>whether the factual record was sufficiently developed</w:t>
      </w:r>
      <w:r>
        <w:rPr>
          <w:rFonts w:ascii="Times" w:hAnsi="Times"/>
        </w:rPr>
        <w:t>, i</w:t>
      </w:r>
      <w:r w:rsidR="00EB6B09">
        <w:rPr>
          <w:rFonts w:ascii="Times" w:hAnsi="Times"/>
        </w:rPr>
        <w:t xml:space="preserve">t is obvious that the </w:t>
      </w:r>
      <w:r w:rsidR="00943E57">
        <w:rPr>
          <w:rFonts w:ascii="Times" w:hAnsi="Times"/>
        </w:rPr>
        <w:t xml:space="preserve">facts with respect to the Public Accommodation claim are under-developed. </w:t>
      </w:r>
      <w:r w:rsidR="00E60796">
        <w:rPr>
          <w:rFonts w:ascii="Times" w:hAnsi="Times"/>
        </w:rPr>
        <w:t xml:space="preserve">The parties continue to dispute if there has even been at least one request by </w:t>
      </w:r>
      <w:r w:rsidR="00E60796">
        <w:rPr>
          <w:rFonts w:ascii="Times" w:hAnsi="Times"/>
        </w:rPr>
        <w:lastRenderedPageBreak/>
        <w:t>a same-sex couple for a wedding website.</w:t>
      </w:r>
      <w:r w:rsidR="00943E57">
        <w:rPr>
          <w:rFonts w:ascii="Times" w:hAnsi="Times"/>
        </w:rPr>
        <w:t xml:space="preserve"> </w:t>
      </w:r>
      <w:r w:rsidR="00E60796">
        <w:rPr>
          <w:rFonts w:ascii="Times" w:hAnsi="Times"/>
        </w:rPr>
        <w:t xml:space="preserve">Respondents draw on semantic arguments, differentiating invites and placenames, while Petitioner draws from a casual reference to a </w:t>
      </w:r>
      <w:r w:rsidR="00E60796" w:rsidRPr="00E60796">
        <w:rPr>
          <w:rFonts w:ascii="Times" w:hAnsi="Times"/>
          <w:i/>
          <w:iCs/>
        </w:rPr>
        <w:t>possible</w:t>
      </w:r>
      <w:r w:rsidR="00E60796">
        <w:rPr>
          <w:rFonts w:ascii="Times" w:hAnsi="Times"/>
        </w:rPr>
        <w:t xml:space="preserve"> website an infringement of her sincerely held religious beliefs</w:t>
      </w:r>
      <w:r w:rsidR="00E60796" w:rsidRPr="00040370">
        <w:rPr>
          <w:rFonts w:ascii="Times" w:hAnsi="Times"/>
        </w:rPr>
        <w:t>.</w:t>
      </w:r>
      <w:r w:rsidR="00943E57" w:rsidRPr="00040370">
        <w:rPr>
          <w:rFonts w:ascii="Times" w:hAnsi="Times"/>
        </w:rPr>
        <w:t xml:space="preserve"> </w:t>
      </w:r>
      <w:r w:rsidR="00943E57" w:rsidRPr="00040370">
        <w:rPr>
          <w:rFonts w:ascii="Times" w:hAnsi="Times"/>
          <w:i/>
          <w:iCs/>
        </w:rPr>
        <w:t>See</w:t>
      </w:r>
      <w:r w:rsidR="00943E57" w:rsidRPr="00040370">
        <w:rPr>
          <w:rFonts w:ascii="Times" w:hAnsi="Times"/>
        </w:rPr>
        <w:t xml:space="preserve"> (Gov. Br. at 7).</w:t>
      </w:r>
      <w:r w:rsidR="00E60796">
        <w:rPr>
          <w:rFonts w:ascii="Times" w:hAnsi="Times"/>
        </w:rPr>
        <w:t xml:space="preserve"> </w:t>
      </w:r>
      <w:r w:rsidR="0024740A">
        <w:rPr>
          <w:rFonts w:ascii="Times" w:hAnsi="Times"/>
        </w:rPr>
        <w:t xml:space="preserve">The factual record before </w:t>
      </w:r>
      <w:r w:rsidR="00AC5D95">
        <w:rPr>
          <w:rFonts w:ascii="Times" w:hAnsi="Times"/>
        </w:rPr>
        <w:t>the Court</w:t>
      </w:r>
      <w:r w:rsidR="0024740A">
        <w:rPr>
          <w:rFonts w:ascii="Times" w:hAnsi="Times"/>
        </w:rPr>
        <w:t xml:space="preserve"> is nothing more than reminiscent evidence of an instance where siblings almost poke </w:t>
      </w:r>
      <w:r w:rsidR="00293863">
        <w:rPr>
          <w:rFonts w:ascii="Times" w:hAnsi="Times"/>
        </w:rPr>
        <w:t>each other</w:t>
      </w:r>
      <w:r w:rsidR="0024740A">
        <w:rPr>
          <w:rFonts w:ascii="Times" w:hAnsi="Times"/>
        </w:rPr>
        <w:t xml:space="preserve">, but not “technically.” </w:t>
      </w:r>
      <w:r w:rsidR="00293863">
        <w:rPr>
          <w:rFonts w:ascii="Times" w:hAnsi="Times"/>
        </w:rPr>
        <w:t>To find that the factual record before th</w:t>
      </w:r>
      <w:r w:rsidR="00AC5D95">
        <w:rPr>
          <w:rFonts w:ascii="Times" w:hAnsi="Times"/>
        </w:rPr>
        <w:t>e</w:t>
      </w:r>
      <w:r w:rsidR="00293863">
        <w:rPr>
          <w:rFonts w:ascii="Times" w:hAnsi="Times"/>
        </w:rPr>
        <w:t xml:space="preserve"> Court is developed would be to call into question the very nature of reality versus mere personal affronts.</w:t>
      </w:r>
    </w:p>
    <w:p w14:paraId="6459B141" w14:textId="5E0B6851" w:rsidR="00F57879" w:rsidRDefault="00293863" w:rsidP="00A944A2">
      <w:pPr>
        <w:spacing w:line="480" w:lineRule="auto"/>
        <w:ind w:firstLine="720"/>
        <w:jc w:val="both"/>
        <w:rPr>
          <w:rFonts w:ascii="Times" w:hAnsi="Times"/>
        </w:rPr>
      </w:pPr>
      <w:r>
        <w:rPr>
          <w:rFonts w:ascii="Times" w:hAnsi="Times"/>
        </w:rPr>
        <w:t xml:space="preserve">However, </w:t>
      </w:r>
      <w:proofErr w:type="gramStart"/>
      <w:r>
        <w:rPr>
          <w:rFonts w:ascii="Times" w:hAnsi="Times"/>
        </w:rPr>
        <w:t>in light of</w:t>
      </w:r>
      <w:proofErr w:type="gramEnd"/>
      <w:r>
        <w:rPr>
          <w:rFonts w:ascii="Times" w:hAnsi="Times"/>
        </w:rPr>
        <w:t xml:space="preserve"> Petitioner’s personal affront to a request for name card, invitations, and maybe possibly if by chance a website, there still remains a demonstration of hardship if denied judicial relief. </w:t>
      </w:r>
      <w:r w:rsidR="00AC5D95">
        <w:rPr>
          <w:rFonts w:ascii="Times" w:hAnsi="Times"/>
        </w:rPr>
        <w:t>The Court should</w:t>
      </w:r>
      <w:r w:rsidR="0035445E">
        <w:rPr>
          <w:rFonts w:ascii="Times" w:hAnsi="Times"/>
        </w:rPr>
        <w:t xml:space="preserve"> acknowledge that if </w:t>
      </w:r>
      <w:r w:rsidR="00A24B15">
        <w:rPr>
          <w:rFonts w:ascii="Times" w:hAnsi="Times"/>
        </w:rPr>
        <w:t xml:space="preserve">judicial relief is denied, then Petitioner may in fact be prosecuted for denying service based on her sincerely held religious beliefs. But what fails to be shown and evident is the hardship of </w:t>
      </w:r>
      <w:r w:rsidR="00A24B15" w:rsidRPr="00A24B15">
        <w:rPr>
          <w:rFonts w:ascii="Times" w:hAnsi="Times"/>
          <w:i/>
          <w:iCs/>
        </w:rPr>
        <w:t>potential</w:t>
      </w:r>
      <w:r w:rsidR="00A24B15">
        <w:rPr>
          <w:rFonts w:ascii="Times" w:hAnsi="Times"/>
        </w:rPr>
        <w:t xml:space="preserve"> punishment or prosecution. </w:t>
      </w:r>
      <w:r w:rsidR="00E03C01">
        <w:rPr>
          <w:rFonts w:ascii="Times" w:hAnsi="Times"/>
        </w:rPr>
        <w:t>As discussed above, this case was brought before any action by Colorado was taken against Petitioner. Thus, Petitioner has not faced any hardship other than the fictious prosecution against religious freedom brought before th</w:t>
      </w:r>
      <w:r w:rsidR="00AC5D95">
        <w:rPr>
          <w:rFonts w:ascii="Times" w:hAnsi="Times"/>
        </w:rPr>
        <w:t>e</w:t>
      </w:r>
      <w:r w:rsidR="00E03C01">
        <w:rPr>
          <w:rFonts w:ascii="Times" w:hAnsi="Times"/>
        </w:rPr>
        <w:t xml:space="preserve"> Court. </w:t>
      </w:r>
      <w:r w:rsidR="00710505">
        <w:rPr>
          <w:rFonts w:ascii="Times" w:hAnsi="Times"/>
        </w:rPr>
        <w:t xml:space="preserve">There is no hardship if no penalty for failing to comply </w:t>
      </w:r>
      <w:r w:rsidR="005A731D">
        <w:rPr>
          <w:rFonts w:ascii="Times" w:hAnsi="Times"/>
        </w:rPr>
        <w:t>h</w:t>
      </w:r>
      <w:r w:rsidR="00710505">
        <w:rPr>
          <w:rFonts w:ascii="Times" w:hAnsi="Times"/>
        </w:rPr>
        <w:t xml:space="preserve">as </w:t>
      </w:r>
      <w:proofErr w:type="gramStart"/>
      <w:r w:rsidR="00710505">
        <w:rPr>
          <w:rFonts w:ascii="Times" w:hAnsi="Times"/>
        </w:rPr>
        <w:t>actually occurred</w:t>
      </w:r>
      <w:proofErr w:type="gramEnd"/>
      <w:r w:rsidR="00710505">
        <w:rPr>
          <w:rFonts w:ascii="Times" w:hAnsi="Times"/>
        </w:rPr>
        <w:t xml:space="preserve">. </w:t>
      </w:r>
      <w:r w:rsidR="00E03C01">
        <w:rPr>
          <w:rFonts w:ascii="Times" w:hAnsi="Times"/>
        </w:rPr>
        <w:t xml:space="preserve">May it be repeated that although there are rights above and antecedent to our Constitution, generally, “the purposes for which men enter into society will determine the nature and terms of the social compact,” </w:t>
      </w:r>
      <w:r w:rsidR="008756F2">
        <w:rPr>
          <w:rFonts w:ascii="Times" w:hAnsi="Times"/>
        </w:rPr>
        <w:t>which in turn serves “</w:t>
      </w:r>
      <w:r w:rsidR="00E03C01">
        <w:rPr>
          <w:rFonts w:ascii="Times" w:hAnsi="Times"/>
        </w:rPr>
        <w:t>as the foundation of legislative power</w:t>
      </w:r>
      <w:r w:rsidR="008756F2">
        <w:rPr>
          <w:rFonts w:ascii="Times" w:hAnsi="Times"/>
        </w:rPr>
        <w:t>.</w:t>
      </w:r>
      <w:r w:rsidR="00E03C01">
        <w:rPr>
          <w:rFonts w:ascii="Times" w:hAnsi="Times"/>
        </w:rPr>
        <w:t>”</w:t>
      </w:r>
      <w:r w:rsidR="00943E57">
        <w:rPr>
          <w:rFonts w:ascii="Times" w:hAnsi="Times"/>
        </w:rPr>
        <w:t xml:space="preserve"> </w:t>
      </w:r>
      <w:r w:rsidR="00943E57" w:rsidRPr="00943E57">
        <w:rPr>
          <w:rFonts w:ascii="Times" w:hAnsi="Times"/>
          <w:i/>
          <w:iCs/>
        </w:rPr>
        <w:t>Id</w:t>
      </w:r>
      <w:r w:rsidR="00943E57">
        <w:rPr>
          <w:rFonts w:ascii="Times" w:hAnsi="Times"/>
        </w:rPr>
        <w:t>.</w:t>
      </w:r>
      <w:r w:rsidR="00E03C01">
        <w:rPr>
          <w:rFonts w:ascii="Times" w:hAnsi="Times"/>
        </w:rPr>
        <w:t xml:space="preserve"> </w:t>
      </w:r>
      <w:r w:rsidR="008756F2">
        <w:rPr>
          <w:rFonts w:ascii="Times" w:hAnsi="Times"/>
        </w:rPr>
        <w:t>The legislature is then charged with the</w:t>
      </w:r>
      <w:r w:rsidR="00E03C01">
        <w:rPr>
          <w:rFonts w:ascii="Times" w:hAnsi="Times"/>
        </w:rPr>
        <w:t xml:space="preserve"> responsibility to decide the proper object of it</w:t>
      </w:r>
      <w:r w:rsidR="008756F2">
        <w:rPr>
          <w:rFonts w:ascii="Times" w:hAnsi="Times"/>
        </w:rPr>
        <w:t>s power.</w:t>
      </w:r>
      <w:r w:rsidR="00943E57">
        <w:rPr>
          <w:rFonts w:ascii="Times" w:hAnsi="Times"/>
        </w:rPr>
        <w:t xml:space="preserve"> </w:t>
      </w:r>
      <w:r w:rsidR="00943E57" w:rsidRPr="00943E57">
        <w:rPr>
          <w:rFonts w:ascii="Times" w:hAnsi="Times"/>
          <w:i/>
          <w:iCs/>
        </w:rPr>
        <w:t>Id</w:t>
      </w:r>
      <w:r w:rsidR="00943E57">
        <w:rPr>
          <w:rFonts w:ascii="Times" w:hAnsi="Times"/>
        </w:rPr>
        <w:t>.</w:t>
      </w:r>
    </w:p>
    <w:p w14:paraId="0007A4BD" w14:textId="6BEE19F4" w:rsidR="004B720C" w:rsidRDefault="004B720C" w:rsidP="00A944A2">
      <w:pPr>
        <w:spacing w:line="480" w:lineRule="auto"/>
        <w:ind w:firstLine="720"/>
        <w:jc w:val="both"/>
        <w:rPr>
          <w:rFonts w:ascii="Times" w:hAnsi="Times"/>
        </w:rPr>
      </w:pPr>
      <w:r>
        <w:rPr>
          <w:rFonts w:ascii="Times" w:hAnsi="Times"/>
        </w:rPr>
        <w:t xml:space="preserve">It may be asserted that Petitioner will or has experienced financial harm by bringing this suit in seeking to defend her First Amendment rights. However, </w:t>
      </w:r>
      <w:r w:rsidR="00AC5D95">
        <w:rPr>
          <w:rFonts w:ascii="Times" w:hAnsi="Times"/>
        </w:rPr>
        <w:t>the Court should</w:t>
      </w:r>
      <w:r>
        <w:rPr>
          <w:rFonts w:ascii="Times" w:hAnsi="Times"/>
        </w:rPr>
        <w:t xml:space="preserve"> reject this argument. As w</w:t>
      </w:r>
      <w:r w:rsidR="00AC5D95">
        <w:rPr>
          <w:rFonts w:ascii="Times" w:hAnsi="Times"/>
        </w:rPr>
        <w:t>as</w:t>
      </w:r>
      <w:r>
        <w:rPr>
          <w:rFonts w:ascii="Times" w:hAnsi="Times"/>
        </w:rPr>
        <w:t xml:space="preserve"> established, Petitioner </w:t>
      </w:r>
      <w:r w:rsidR="002775FB">
        <w:rPr>
          <w:rFonts w:ascii="Times" w:hAnsi="Times"/>
        </w:rPr>
        <w:t xml:space="preserve">could not demonstrate that the harm of enforcement was likely to occur. Thus, the financial harm she may or will face </w:t>
      </w:r>
      <w:proofErr w:type="gramStart"/>
      <w:r w:rsidR="002775FB">
        <w:rPr>
          <w:rFonts w:ascii="Times" w:hAnsi="Times"/>
        </w:rPr>
        <w:t>as a result of</w:t>
      </w:r>
      <w:proofErr w:type="gramEnd"/>
      <w:r w:rsidR="002775FB">
        <w:rPr>
          <w:rFonts w:ascii="Times" w:hAnsi="Times"/>
        </w:rPr>
        <w:t xml:space="preserve"> bringing this suit is the </w:t>
      </w:r>
      <w:r w:rsidR="002775FB">
        <w:rPr>
          <w:rFonts w:ascii="Times" w:hAnsi="Times"/>
        </w:rPr>
        <w:lastRenderedPageBreak/>
        <w:t>cost she must pay. If the Public Accommodation Clause is enforced against Petitioner, then she may assert a financial harm defense then.</w:t>
      </w:r>
    </w:p>
    <w:p w14:paraId="544A056D" w14:textId="74B389CB" w:rsidR="00003BE3" w:rsidRDefault="00710505" w:rsidP="00987865">
      <w:pPr>
        <w:spacing w:line="480" w:lineRule="auto"/>
        <w:ind w:firstLine="720"/>
        <w:jc w:val="both"/>
        <w:rPr>
          <w:rFonts w:ascii="Times" w:hAnsi="Times"/>
        </w:rPr>
      </w:pPr>
      <w:proofErr w:type="gramStart"/>
      <w:r>
        <w:rPr>
          <w:rFonts w:ascii="Times" w:hAnsi="Times"/>
        </w:rPr>
        <w:t>In light of</w:t>
      </w:r>
      <w:proofErr w:type="gramEnd"/>
      <w:r>
        <w:rPr>
          <w:rFonts w:ascii="Times" w:hAnsi="Times"/>
        </w:rPr>
        <w:t xml:space="preserve"> the forementioned consideration</w:t>
      </w:r>
      <w:r w:rsidR="00C37C46">
        <w:rPr>
          <w:rFonts w:ascii="Times" w:hAnsi="Times"/>
        </w:rPr>
        <w:t>s</w:t>
      </w:r>
      <w:r>
        <w:rPr>
          <w:rFonts w:ascii="Times" w:hAnsi="Times"/>
        </w:rPr>
        <w:t xml:space="preserve">, </w:t>
      </w:r>
      <w:r w:rsidR="00AC5D95">
        <w:rPr>
          <w:rFonts w:ascii="Times" w:hAnsi="Times"/>
        </w:rPr>
        <w:t>the Court should</w:t>
      </w:r>
      <w:r>
        <w:rPr>
          <w:rFonts w:ascii="Times" w:hAnsi="Times"/>
        </w:rPr>
        <w:t xml:space="preserve"> hold that Petitioner does not have standing on </w:t>
      </w:r>
      <w:r w:rsidR="008756F2">
        <w:rPr>
          <w:rFonts w:ascii="Times" w:hAnsi="Times"/>
        </w:rPr>
        <w:t>the Public Accommodation claim</w:t>
      </w:r>
      <w:r w:rsidR="00943E57">
        <w:rPr>
          <w:rFonts w:ascii="Times" w:hAnsi="Times"/>
        </w:rPr>
        <w:t xml:space="preserve"> nor is </w:t>
      </w:r>
      <w:r w:rsidR="002775FB">
        <w:rPr>
          <w:rFonts w:ascii="Times" w:hAnsi="Times"/>
        </w:rPr>
        <w:t>the</w:t>
      </w:r>
      <w:r w:rsidR="00943E57">
        <w:rPr>
          <w:rFonts w:ascii="Times" w:hAnsi="Times"/>
        </w:rPr>
        <w:t xml:space="preserve"> claim ripe for review</w:t>
      </w:r>
      <w:r w:rsidR="008756F2">
        <w:rPr>
          <w:rFonts w:ascii="Times" w:hAnsi="Times"/>
        </w:rPr>
        <w:t xml:space="preserve">. </w:t>
      </w:r>
      <w:r w:rsidR="00AC5D95">
        <w:rPr>
          <w:rFonts w:ascii="Times" w:hAnsi="Times"/>
        </w:rPr>
        <w:t>The Court should</w:t>
      </w:r>
      <w:r w:rsidR="008756F2">
        <w:rPr>
          <w:rFonts w:ascii="Times" w:hAnsi="Times"/>
        </w:rPr>
        <w:t xml:space="preserve"> </w:t>
      </w:r>
      <w:r w:rsidR="00236B02">
        <w:rPr>
          <w:rFonts w:ascii="Times" w:hAnsi="Times"/>
        </w:rPr>
        <w:t>reverse.</w:t>
      </w:r>
    </w:p>
    <w:p w14:paraId="7F942DD2" w14:textId="0292C988" w:rsidR="004B0BCD" w:rsidRDefault="00C75292" w:rsidP="00C75292">
      <w:pPr>
        <w:spacing w:line="480" w:lineRule="auto"/>
        <w:jc w:val="center"/>
        <w:rPr>
          <w:rFonts w:ascii="Times" w:hAnsi="Times"/>
        </w:rPr>
      </w:pPr>
      <w:r>
        <w:rPr>
          <w:rFonts w:ascii="Times" w:hAnsi="Times"/>
        </w:rPr>
        <w:t>III.</w:t>
      </w:r>
    </w:p>
    <w:p w14:paraId="3BC65FB9" w14:textId="77777777" w:rsidR="004C2DEF" w:rsidRDefault="004C2DEF" w:rsidP="004C2DEF">
      <w:pPr>
        <w:jc w:val="center"/>
        <w:rPr>
          <w:rFonts w:ascii="Times" w:hAnsi="Times"/>
        </w:rPr>
      </w:pPr>
    </w:p>
    <w:p w14:paraId="59A5E42B" w14:textId="5684B2A6" w:rsidR="00003BE3" w:rsidRDefault="00003BE3" w:rsidP="00C75292">
      <w:pPr>
        <w:spacing w:line="480" w:lineRule="auto"/>
        <w:jc w:val="center"/>
        <w:rPr>
          <w:rFonts w:ascii="Times" w:hAnsi="Times"/>
        </w:rPr>
      </w:pPr>
      <w:r>
        <w:rPr>
          <w:rFonts w:ascii="Times" w:hAnsi="Times"/>
        </w:rPr>
        <w:t>A.</w:t>
      </w:r>
    </w:p>
    <w:p w14:paraId="42E91760" w14:textId="77777777" w:rsidR="004C2DEF" w:rsidRDefault="004C2DEF" w:rsidP="004C2DEF">
      <w:pPr>
        <w:jc w:val="center"/>
        <w:rPr>
          <w:rFonts w:ascii="Times" w:hAnsi="Times"/>
        </w:rPr>
      </w:pPr>
    </w:p>
    <w:p w14:paraId="00A640F2" w14:textId="7E4A5524" w:rsidR="004C2DEF" w:rsidRDefault="00987865" w:rsidP="00AC5D95">
      <w:pPr>
        <w:spacing w:line="480" w:lineRule="auto"/>
        <w:ind w:firstLine="720"/>
        <w:jc w:val="both"/>
        <w:rPr>
          <w:rFonts w:ascii="Times" w:hAnsi="Times"/>
        </w:rPr>
      </w:pPr>
      <w:r>
        <w:rPr>
          <w:rFonts w:ascii="Times" w:hAnsi="Times"/>
        </w:rPr>
        <w:t xml:space="preserve">Next is the </w:t>
      </w:r>
      <w:r w:rsidR="00540B6C">
        <w:rPr>
          <w:rFonts w:ascii="Times" w:hAnsi="Times"/>
        </w:rPr>
        <w:t xml:space="preserve">Petitioner’s </w:t>
      </w:r>
      <w:r w:rsidR="008756F2">
        <w:rPr>
          <w:rFonts w:ascii="Times" w:hAnsi="Times"/>
        </w:rPr>
        <w:t xml:space="preserve">Communication Clause </w:t>
      </w:r>
      <w:r w:rsidR="00540B6C">
        <w:rPr>
          <w:rFonts w:ascii="Times" w:hAnsi="Times"/>
        </w:rPr>
        <w:t>claim</w:t>
      </w:r>
      <w:r w:rsidR="008756F2">
        <w:rPr>
          <w:rFonts w:ascii="Times" w:hAnsi="Times"/>
        </w:rPr>
        <w:t xml:space="preserve">. </w:t>
      </w:r>
      <w:r w:rsidR="00997C70">
        <w:rPr>
          <w:rFonts w:ascii="Times" w:hAnsi="Times"/>
        </w:rPr>
        <w:t>Petitioner asserts that she has standing to challenge the Colorado’s statute</w:t>
      </w:r>
      <w:r w:rsidR="00C75292">
        <w:rPr>
          <w:rFonts w:ascii="Times" w:hAnsi="Times"/>
        </w:rPr>
        <w:t>,</w:t>
      </w:r>
      <w:r w:rsidR="00997C70">
        <w:rPr>
          <w:rFonts w:ascii="Times" w:hAnsi="Times"/>
        </w:rPr>
        <w:t xml:space="preserve"> which prohibits publishing, directly or indirectly, any communication </w:t>
      </w:r>
      <w:r w:rsidR="00C75292">
        <w:rPr>
          <w:rFonts w:ascii="Times" w:hAnsi="Times"/>
        </w:rPr>
        <w:t>that</w:t>
      </w:r>
      <w:r w:rsidR="00997C70">
        <w:rPr>
          <w:rFonts w:ascii="Times" w:hAnsi="Times"/>
        </w:rPr>
        <w:t xml:space="preserve"> denies services based on sexual orientation. </w:t>
      </w:r>
      <w:r w:rsidR="00997C70" w:rsidRPr="00040370">
        <w:rPr>
          <w:rFonts w:ascii="Times" w:hAnsi="Times"/>
          <w:i/>
          <w:iCs/>
        </w:rPr>
        <w:t>See</w:t>
      </w:r>
      <w:r w:rsidR="00997C70" w:rsidRPr="00040370">
        <w:rPr>
          <w:rFonts w:ascii="Times" w:hAnsi="Times"/>
        </w:rPr>
        <w:t xml:space="preserve"> Colo. Rev. Stat. §24-34-601(2)(a).</w:t>
      </w:r>
      <w:r w:rsidR="00997C70">
        <w:rPr>
          <w:rFonts w:ascii="Times" w:hAnsi="Times"/>
        </w:rPr>
        <w:t xml:space="preserve"> However, Petitioner’s Communication Clause claim fairs no better than her Public Accommodation claim under the standing analysis. Petitioner has failed to demonstrate that Colorado has a past of enforcement </w:t>
      </w:r>
      <w:r w:rsidR="00683BF4">
        <w:rPr>
          <w:rFonts w:ascii="Times" w:hAnsi="Times"/>
        </w:rPr>
        <w:t xml:space="preserve">of prohibiting messages akin to the one Petitioner wishes to publish and that Colorado has disavowed future enforcement. Therefore, since Petitioner cannot satisfy the fear of prosecution factor, </w:t>
      </w:r>
      <w:r w:rsidR="00AF32A6">
        <w:rPr>
          <w:rFonts w:ascii="Times" w:hAnsi="Times"/>
        </w:rPr>
        <w:t xml:space="preserve">thereby satisfying the </w:t>
      </w:r>
      <w:r w:rsidR="00683BF4">
        <w:rPr>
          <w:rFonts w:ascii="Times" w:hAnsi="Times"/>
        </w:rPr>
        <w:t>injury in</w:t>
      </w:r>
      <w:r w:rsidR="00AF32A6">
        <w:rPr>
          <w:rFonts w:ascii="Times" w:hAnsi="Times"/>
        </w:rPr>
        <w:t>-</w:t>
      </w:r>
      <w:r w:rsidR="00683BF4">
        <w:rPr>
          <w:rFonts w:ascii="Times" w:hAnsi="Times"/>
        </w:rPr>
        <w:t>fact</w:t>
      </w:r>
      <w:r w:rsidR="00AF32A6">
        <w:rPr>
          <w:rFonts w:ascii="Times" w:hAnsi="Times"/>
        </w:rPr>
        <w:t xml:space="preserve"> requirement</w:t>
      </w:r>
      <w:r w:rsidR="00683BF4">
        <w:rPr>
          <w:rFonts w:ascii="Times" w:hAnsi="Times"/>
        </w:rPr>
        <w:t xml:space="preserve">, she cannot prevail on </w:t>
      </w:r>
      <w:r w:rsidR="00AF32A6">
        <w:rPr>
          <w:rFonts w:ascii="Times" w:hAnsi="Times"/>
        </w:rPr>
        <w:t>the Communication Clause</w:t>
      </w:r>
      <w:r w:rsidR="00683BF4">
        <w:rPr>
          <w:rFonts w:ascii="Times" w:hAnsi="Times"/>
        </w:rPr>
        <w:t xml:space="preserve"> standing claim. Thus, </w:t>
      </w:r>
      <w:r w:rsidR="00AC5D95">
        <w:rPr>
          <w:rFonts w:ascii="Times" w:hAnsi="Times"/>
        </w:rPr>
        <w:t>I</w:t>
      </w:r>
      <w:r w:rsidR="00683BF4">
        <w:rPr>
          <w:rFonts w:ascii="Times" w:hAnsi="Times"/>
        </w:rPr>
        <w:t xml:space="preserve"> shift </w:t>
      </w:r>
      <w:r w:rsidR="00AC5D95">
        <w:rPr>
          <w:rFonts w:ascii="Times" w:hAnsi="Times"/>
        </w:rPr>
        <w:t>my</w:t>
      </w:r>
      <w:r w:rsidR="00683BF4">
        <w:rPr>
          <w:rFonts w:ascii="Times" w:hAnsi="Times"/>
        </w:rPr>
        <w:t xml:space="preserve"> attention to the ripeness standard.</w:t>
      </w:r>
    </w:p>
    <w:p w14:paraId="58428B6E" w14:textId="5733FE0E" w:rsidR="00003BE3" w:rsidRDefault="00003BE3" w:rsidP="00003BE3">
      <w:pPr>
        <w:spacing w:line="480" w:lineRule="auto"/>
        <w:jc w:val="center"/>
        <w:rPr>
          <w:rFonts w:ascii="Times" w:hAnsi="Times"/>
        </w:rPr>
      </w:pPr>
      <w:r>
        <w:rPr>
          <w:rFonts w:ascii="Times" w:hAnsi="Times"/>
        </w:rPr>
        <w:t>B.</w:t>
      </w:r>
    </w:p>
    <w:p w14:paraId="419F7A42" w14:textId="77777777" w:rsidR="004C2DEF" w:rsidRDefault="004C2DEF" w:rsidP="004C2DEF">
      <w:pPr>
        <w:jc w:val="center"/>
        <w:rPr>
          <w:rFonts w:ascii="Times" w:hAnsi="Times"/>
        </w:rPr>
      </w:pPr>
    </w:p>
    <w:p w14:paraId="04243326" w14:textId="7C8B15F7" w:rsidR="00156425" w:rsidRDefault="00683BF4" w:rsidP="00C05B30">
      <w:pPr>
        <w:spacing w:line="480" w:lineRule="auto"/>
        <w:ind w:firstLine="720"/>
        <w:jc w:val="both"/>
        <w:rPr>
          <w:rFonts w:ascii="Times" w:hAnsi="Times"/>
        </w:rPr>
      </w:pPr>
      <w:r>
        <w:rPr>
          <w:rFonts w:ascii="Times" w:hAnsi="Times"/>
        </w:rPr>
        <w:t xml:space="preserve">Here, factor one of the ripeness standard mirrors the inquiry </w:t>
      </w:r>
      <w:r w:rsidR="00596F0C">
        <w:rPr>
          <w:rFonts w:ascii="Times" w:hAnsi="Times"/>
        </w:rPr>
        <w:t>required for</w:t>
      </w:r>
      <w:r>
        <w:rPr>
          <w:rFonts w:ascii="Times" w:hAnsi="Times"/>
        </w:rPr>
        <w:t xml:space="preserve"> factor two of the fear of prosecution standard. </w:t>
      </w:r>
      <w:r w:rsidR="00F16BA7">
        <w:rPr>
          <w:rFonts w:ascii="Times" w:hAnsi="Times"/>
        </w:rPr>
        <w:t>It is no secret that online shopping has increased in the recent years</w:t>
      </w:r>
      <w:r w:rsidR="00C05B30">
        <w:rPr>
          <w:rFonts w:ascii="Times" w:hAnsi="Times"/>
        </w:rPr>
        <w:t xml:space="preserve">. </w:t>
      </w:r>
      <w:r w:rsidR="00C05B30" w:rsidRPr="00C05B30">
        <w:rPr>
          <w:rFonts w:ascii="Times" w:hAnsi="Times"/>
          <w:i/>
          <w:iCs/>
        </w:rPr>
        <w:t>See</w:t>
      </w:r>
      <w:r w:rsidR="00C05B30">
        <w:rPr>
          <w:rFonts w:ascii="Times" w:hAnsi="Times"/>
        </w:rPr>
        <w:t xml:space="preserve"> </w:t>
      </w:r>
      <w:proofErr w:type="spellStart"/>
      <w:r w:rsidR="00C05B30">
        <w:rPr>
          <w:rFonts w:ascii="Times" w:hAnsi="Times"/>
        </w:rPr>
        <w:t>Fujie</w:t>
      </w:r>
      <w:proofErr w:type="spellEnd"/>
      <w:r w:rsidR="00C05B30">
        <w:rPr>
          <w:rFonts w:ascii="Times" w:hAnsi="Times"/>
        </w:rPr>
        <w:t xml:space="preserve"> Rao, </w:t>
      </w:r>
      <w:r w:rsidR="00C05B30" w:rsidRPr="00C05B30">
        <w:rPr>
          <w:rFonts w:ascii="Times" w:hAnsi="Times"/>
          <w:i/>
          <w:iCs/>
        </w:rPr>
        <w:t>Resilient Forms of Shopping Centers Amid the Rise of Online Retailing: Towards the Urban Experience</w:t>
      </w:r>
      <w:r w:rsidR="00C05B30">
        <w:rPr>
          <w:rFonts w:ascii="Times" w:hAnsi="Times"/>
        </w:rPr>
        <w:t xml:space="preserve">, 11 </w:t>
      </w:r>
      <w:r w:rsidR="00C05B30" w:rsidRPr="00C05B30">
        <w:rPr>
          <w:rFonts w:ascii="Times" w:hAnsi="Times" w:cs="Times New Roman (Body CS)"/>
          <w:smallCaps/>
        </w:rPr>
        <w:t>Sustainability</w:t>
      </w:r>
      <w:r w:rsidR="00C05B30">
        <w:rPr>
          <w:rFonts w:ascii="Times" w:hAnsi="Times"/>
        </w:rPr>
        <w:t xml:space="preserve"> 1, 1 (2019). This means that there is likely an increased </w:t>
      </w:r>
      <w:r w:rsidR="00C05B30">
        <w:rPr>
          <w:rFonts w:ascii="Times" w:hAnsi="Times"/>
        </w:rPr>
        <w:lastRenderedPageBreak/>
        <w:t xml:space="preserve">amount of online traffic viewing </w:t>
      </w:r>
      <w:r w:rsidR="008E1DC3">
        <w:rPr>
          <w:rFonts w:ascii="Times" w:hAnsi="Times"/>
        </w:rPr>
        <w:t xml:space="preserve">for </w:t>
      </w:r>
      <w:r w:rsidR="00C05B30">
        <w:rPr>
          <w:rFonts w:ascii="Times" w:hAnsi="Times"/>
        </w:rPr>
        <w:t xml:space="preserve">Petitioner’s website. If </w:t>
      </w:r>
      <w:r w:rsidR="00D04BB3">
        <w:rPr>
          <w:rFonts w:ascii="Times" w:hAnsi="Times"/>
        </w:rPr>
        <w:t xml:space="preserve">Petitioner posts the </w:t>
      </w:r>
      <w:r w:rsidR="008E1DC3">
        <w:rPr>
          <w:rFonts w:ascii="Times" w:hAnsi="Times"/>
        </w:rPr>
        <w:t>statement</w:t>
      </w:r>
      <w:r w:rsidR="00C05B30">
        <w:rPr>
          <w:rFonts w:ascii="Times" w:hAnsi="Times"/>
        </w:rPr>
        <w:t xml:space="preserve"> </w:t>
      </w:r>
      <w:r w:rsidR="008E1DC3">
        <w:rPr>
          <w:rFonts w:ascii="Times" w:hAnsi="Times"/>
        </w:rPr>
        <w:t>on her company website as stated</w:t>
      </w:r>
      <w:r w:rsidR="00C05B30">
        <w:rPr>
          <w:rFonts w:ascii="Times" w:hAnsi="Times"/>
        </w:rPr>
        <w:t xml:space="preserve"> </w:t>
      </w:r>
      <w:r w:rsidR="008E1DC3">
        <w:rPr>
          <w:rFonts w:ascii="Times" w:hAnsi="Times"/>
        </w:rPr>
        <w:t>in</w:t>
      </w:r>
      <w:r w:rsidR="00C05B30">
        <w:rPr>
          <w:rFonts w:ascii="Times" w:hAnsi="Times"/>
        </w:rPr>
        <w:t xml:space="preserve"> the record</w:t>
      </w:r>
      <w:r w:rsidR="00D04BB3">
        <w:rPr>
          <w:rFonts w:ascii="Times" w:hAnsi="Times"/>
        </w:rPr>
        <w:t>, she opens herself up to an increased possibility that members of the public will file a complaint</w:t>
      </w:r>
      <w:r w:rsidR="00C05B30">
        <w:rPr>
          <w:rFonts w:ascii="Times" w:hAnsi="Times"/>
        </w:rPr>
        <w:t xml:space="preserve"> with the respective Colorado authorities</w:t>
      </w:r>
      <w:r w:rsidR="00D04BB3">
        <w:rPr>
          <w:rFonts w:ascii="Times" w:hAnsi="Times"/>
        </w:rPr>
        <w:t>.</w:t>
      </w:r>
      <w:r w:rsidR="00C05B30">
        <w:rPr>
          <w:rFonts w:ascii="Times" w:hAnsi="Times"/>
        </w:rPr>
        <w:t xml:space="preserve"> This is distinguishable from the act of denying same-sex couples wedding websites.</w:t>
      </w:r>
      <w:r w:rsidR="00D04BB3">
        <w:rPr>
          <w:rFonts w:ascii="Times" w:hAnsi="Times"/>
        </w:rPr>
        <w:t xml:space="preserve"> </w:t>
      </w:r>
      <w:r w:rsidR="00232D58">
        <w:rPr>
          <w:rFonts w:ascii="Times" w:hAnsi="Times"/>
        </w:rPr>
        <w:t xml:space="preserve">The mere message Petitioner wishes to display requires no further action on the part of the offended individual. They may simply run across this message and decide to report Petitioner to the authorities. On the other hand, there is much less a risk of a same-sex couple requesting a wedding website. This would not only require the extra step on the part of the couple to fill out the necessary inquiry form but also for such couples to disclose the details necessary for Petitioner to deny service. These additional steps act to minimize the likelihood that Petitioner will deny her services. </w:t>
      </w:r>
    </w:p>
    <w:p w14:paraId="467F733B" w14:textId="689BA960" w:rsidR="00232D58" w:rsidRDefault="00232D58" w:rsidP="009D52A1">
      <w:pPr>
        <w:spacing w:line="480" w:lineRule="auto"/>
        <w:ind w:firstLine="720"/>
        <w:jc w:val="both"/>
        <w:rPr>
          <w:rFonts w:ascii="Times" w:hAnsi="Times"/>
        </w:rPr>
      </w:pPr>
      <w:r>
        <w:rPr>
          <w:rFonts w:ascii="Times" w:hAnsi="Times"/>
        </w:rPr>
        <w:t xml:space="preserve">Furthermore, the factual record on Petitioner’s Communication Clause claim is sufficiently developed. There is not dispute among the parties that the statement reflected in the record is the statement Petitioner intends to publish. The </w:t>
      </w:r>
      <w:r w:rsidR="00F4215F">
        <w:rPr>
          <w:rFonts w:ascii="Times" w:hAnsi="Times"/>
        </w:rPr>
        <w:t xml:space="preserve">publication of the intended statement is purely legal. </w:t>
      </w:r>
      <w:r w:rsidR="00F4215F" w:rsidRPr="00F4215F">
        <w:rPr>
          <w:rFonts w:ascii="Times" w:hAnsi="Times"/>
          <w:i/>
          <w:iCs/>
        </w:rPr>
        <w:t>See</w:t>
      </w:r>
      <w:r w:rsidR="00F4215F">
        <w:rPr>
          <w:rFonts w:ascii="Times" w:hAnsi="Times"/>
        </w:rPr>
        <w:t xml:space="preserve"> </w:t>
      </w:r>
      <w:r w:rsidR="00F4215F" w:rsidRPr="00F4215F">
        <w:rPr>
          <w:rFonts w:ascii="Times" w:hAnsi="Times"/>
          <w:i/>
          <w:iCs/>
        </w:rPr>
        <w:t>Thomas v. Union Carbide Agric. Prods. Co.</w:t>
      </w:r>
      <w:r w:rsidR="00F4215F">
        <w:rPr>
          <w:rFonts w:ascii="Times" w:hAnsi="Times"/>
        </w:rPr>
        <w:t xml:space="preserve">, 473 U.S. 568, 580 (1985). It will not be further clarified by any factual development. </w:t>
      </w:r>
      <w:r w:rsidR="00F4215F" w:rsidRPr="00F4215F">
        <w:rPr>
          <w:rFonts w:ascii="Times" w:hAnsi="Times"/>
          <w:i/>
          <w:iCs/>
        </w:rPr>
        <w:t>Id</w:t>
      </w:r>
      <w:r w:rsidR="00F4215F">
        <w:rPr>
          <w:rFonts w:ascii="Times" w:hAnsi="Times"/>
        </w:rPr>
        <w:t>.</w:t>
      </w:r>
    </w:p>
    <w:p w14:paraId="3C110B38" w14:textId="54F243D4" w:rsidR="00093FA8" w:rsidRPr="008E1DC3" w:rsidRDefault="00A944A2" w:rsidP="009D52A1">
      <w:pPr>
        <w:spacing w:line="480" w:lineRule="auto"/>
        <w:ind w:firstLine="720"/>
        <w:jc w:val="both"/>
        <w:rPr>
          <w:rFonts w:ascii="Times" w:hAnsi="Times"/>
        </w:rPr>
      </w:pPr>
      <w:r>
        <w:rPr>
          <w:rFonts w:ascii="Times" w:hAnsi="Times"/>
        </w:rPr>
        <w:t>Lastly</w:t>
      </w:r>
      <w:r w:rsidR="00D04BB3">
        <w:rPr>
          <w:rFonts w:ascii="Times" w:hAnsi="Times"/>
        </w:rPr>
        <w:t xml:space="preserve">, Petitioner does suffer harm if judicial relief fails to be granted. </w:t>
      </w:r>
      <w:r w:rsidR="00F847EF">
        <w:rPr>
          <w:rFonts w:ascii="Times" w:hAnsi="Times"/>
        </w:rPr>
        <w:t>F</w:t>
      </w:r>
      <w:r w:rsidR="005152C7">
        <w:rPr>
          <w:rFonts w:ascii="Times" w:hAnsi="Times"/>
        </w:rPr>
        <w:t>reedom of speech is</w:t>
      </w:r>
      <w:r w:rsidR="00084D88">
        <w:rPr>
          <w:rFonts w:ascii="Times" w:hAnsi="Times"/>
        </w:rPr>
        <w:t xml:space="preserve"> </w:t>
      </w:r>
      <w:r w:rsidR="00F847EF">
        <w:rPr>
          <w:rFonts w:ascii="Times" w:hAnsi="Times"/>
        </w:rPr>
        <w:t xml:space="preserve">a </w:t>
      </w:r>
      <w:r w:rsidR="00084D88">
        <w:rPr>
          <w:rFonts w:ascii="Times" w:hAnsi="Times"/>
        </w:rPr>
        <w:t>central t</w:t>
      </w:r>
      <w:r w:rsidR="00F847EF">
        <w:rPr>
          <w:rFonts w:ascii="Times" w:hAnsi="Times"/>
        </w:rPr>
        <w:t>en</w:t>
      </w:r>
      <w:r w:rsidR="008E1DC3">
        <w:rPr>
          <w:rFonts w:ascii="Times" w:hAnsi="Times"/>
        </w:rPr>
        <w:t>e</w:t>
      </w:r>
      <w:r w:rsidR="00F847EF">
        <w:rPr>
          <w:rFonts w:ascii="Times" w:hAnsi="Times"/>
        </w:rPr>
        <w:t xml:space="preserve">t of </w:t>
      </w:r>
      <w:r w:rsidR="00084D88">
        <w:rPr>
          <w:rFonts w:ascii="Times" w:hAnsi="Times"/>
        </w:rPr>
        <w:t>our Republic. Th</w:t>
      </w:r>
      <w:r w:rsidR="00AC5D95">
        <w:rPr>
          <w:rFonts w:ascii="Times" w:hAnsi="Times"/>
        </w:rPr>
        <w:t>e</w:t>
      </w:r>
      <w:r w:rsidR="00084D88">
        <w:rPr>
          <w:rFonts w:ascii="Times" w:hAnsi="Times"/>
        </w:rPr>
        <w:t xml:space="preserve"> Court has recognized </w:t>
      </w:r>
      <w:r w:rsidR="00F847EF">
        <w:rPr>
          <w:rFonts w:ascii="Times" w:hAnsi="Times"/>
        </w:rPr>
        <w:t xml:space="preserve">and </w:t>
      </w:r>
      <w:r w:rsidR="00084D88">
        <w:rPr>
          <w:rFonts w:ascii="Times" w:hAnsi="Times"/>
        </w:rPr>
        <w:t xml:space="preserve">protected the </w:t>
      </w:r>
      <w:r w:rsidR="00F847EF">
        <w:rPr>
          <w:rFonts w:ascii="Times" w:hAnsi="Times"/>
        </w:rPr>
        <w:t>idea</w:t>
      </w:r>
      <w:r w:rsidR="00084D88">
        <w:rPr>
          <w:rFonts w:ascii="Times" w:hAnsi="Times"/>
        </w:rPr>
        <w:t xml:space="preserve"> that although </w:t>
      </w:r>
      <w:proofErr w:type="gramStart"/>
      <w:r w:rsidR="00084D88">
        <w:rPr>
          <w:rFonts w:ascii="Times" w:hAnsi="Times"/>
        </w:rPr>
        <w:t>particular speech</w:t>
      </w:r>
      <w:proofErr w:type="gramEnd"/>
      <w:r w:rsidR="00084D88">
        <w:rPr>
          <w:rFonts w:ascii="Times" w:hAnsi="Times"/>
        </w:rPr>
        <w:t xml:space="preserve"> is considered by the majority to be distasteful and abhorrent, individuals with such beliefs have a right to those beliefs and to disseminate </w:t>
      </w:r>
      <w:r w:rsidR="00F847EF">
        <w:rPr>
          <w:rFonts w:ascii="Times" w:hAnsi="Times"/>
        </w:rPr>
        <w:t>such</w:t>
      </w:r>
      <w:r w:rsidR="00084D88">
        <w:rPr>
          <w:rFonts w:ascii="Times" w:hAnsi="Times"/>
        </w:rPr>
        <w:t xml:space="preserve"> beliefs. </w:t>
      </w:r>
      <w:r w:rsidR="00DE6BE6">
        <w:rPr>
          <w:rFonts w:ascii="Times" w:hAnsi="Times"/>
        </w:rPr>
        <w:t xml:space="preserve">Time and time again </w:t>
      </w:r>
      <w:r w:rsidR="00AC5D95">
        <w:rPr>
          <w:rFonts w:ascii="Times" w:hAnsi="Times"/>
        </w:rPr>
        <w:t xml:space="preserve">the Court </w:t>
      </w:r>
      <w:proofErr w:type="gramStart"/>
      <w:r w:rsidR="00DE6BE6">
        <w:rPr>
          <w:rFonts w:ascii="Times" w:hAnsi="Times"/>
        </w:rPr>
        <w:t>ha</w:t>
      </w:r>
      <w:r w:rsidR="00AC5D95">
        <w:rPr>
          <w:rFonts w:ascii="Times" w:hAnsi="Times"/>
        </w:rPr>
        <w:t>s</w:t>
      </w:r>
      <w:proofErr w:type="gramEnd"/>
      <w:r w:rsidR="00DE6BE6">
        <w:rPr>
          <w:rFonts w:ascii="Times" w:hAnsi="Times"/>
        </w:rPr>
        <w:t xml:space="preserve"> held that “so long as the statute remains available . . . the threat of prosecutions of protected expressions is a real and substantial one.”</w:t>
      </w:r>
      <w:r w:rsidR="009D52A1">
        <w:rPr>
          <w:rFonts w:ascii="Times" w:hAnsi="Times"/>
        </w:rPr>
        <w:t xml:space="preserve"> </w:t>
      </w:r>
      <w:r w:rsidR="009D52A1" w:rsidRPr="009D52A1">
        <w:rPr>
          <w:rFonts w:ascii="Times" w:hAnsi="Times"/>
          <w:i/>
          <w:iCs/>
        </w:rPr>
        <w:t xml:space="preserve">Dombrowski v. Pfister, </w:t>
      </w:r>
      <w:r w:rsidR="009D52A1" w:rsidRPr="00464F92">
        <w:rPr>
          <w:rFonts w:ascii="Times" w:hAnsi="Times"/>
        </w:rPr>
        <w:t>380 U.S. 479, 494 (1965)</w:t>
      </w:r>
      <w:r>
        <w:rPr>
          <w:rFonts w:ascii="Times" w:hAnsi="Times"/>
        </w:rPr>
        <w:t xml:space="preserve">; </w:t>
      </w:r>
      <w:r w:rsidRPr="00A944A2">
        <w:rPr>
          <w:rFonts w:ascii="Times" w:hAnsi="Times"/>
          <w:i/>
          <w:iCs/>
        </w:rPr>
        <w:t>see</w:t>
      </w:r>
      <w:r>
        <w:rPr>
          <w:rFonts w:ascii="Times" w:hAnsi="Times"/>
        </w:rPr>
        <w:t xml:space="preserve"> </w:t>
      </w:r>
      <w:r w:rsidRPr="00A944A2">
        <w:rPr>
          <w:rFonts w:ascii="Times" w:hAnsi="Times"/>
          <w:i/>
          <w:iCs/>
        </w:rPr>
        <w:t>NAACP v. Button</w:t>
      </w:r>
      <w:r>
        <w:rPr>
          <w:rFonts w:ascii="Times" w:hAnsi="Times"/>
        </w:rPr>
        <w:t>, 371 U.S. 415, 423-33 (1963)</w:t>
      </w:r>
      <w:r w:rsidR="009D52A1" w:rsidRPr="009D52A1">
        <w:rPr>
          <w:rFonts w:ascii="Times" w:hAnsi="Times"/>
          <w:i/>
          <w:iCs/>
        </w:rPr>
        <w:t>.</w:t>
      </w:r>
      <w:r w:rsidR="009D52A1">
        <w:rPr>
          <w:rFonts w:ascii="Times" w:hAnsi="Times"/>
        </w:rPr>
        <w:t xml:space="preserve"> </w:t>
      </w:r>
      <w:r w:rsidR="00DE6BE6">
        <w:rPr>
          <w:rFonts w:ascii="Times" w:hAnsi="Times"/>
        </w:rPr>
        <w:t xml:space="preserve">“Even the prospect of ultimate failure of such prosecutions by no means </w:t>
      </w:r>
      <w:r w:rsidR="00DE6BE6" w:rsidRPr="008E1DC3">
        <w:rPr>
          <w:rFonts w:ascii="Times" w:hAnsi="Times"/>
        </w:rPr>
        <w:t xml:space="preserve">dispels their chilling effect on protected expression.” </w:t>
      </w:r>
      <w:r w:rsidR="009D52A1" w:rsidRPr="008E1DC3">
        <w:rPr>
          <w:rFonts w:ascii="Times" w:hAnsi="Times"/>
          <w:i/>
          <w:iCs/>
        </w:rPr>
        <w:t>Id</w:t>
      </w:r>
      <w:r w:rsidR="009D52A1" w:rsidRPr="008E1DC3">
        <w:rPr>
          <w:rFonts w:ascii="Times" w:hAnsi="Times"/>
        </w:rPr>
        <w:t xml:space="preserve">. </w:t>
      </w:r>
      <w:r w:rsidR="00DE6BE6" w:rsidRPr="008E1DC3">
        <w:rPr>
          <w:rFonts w:ascii="Times" w:hAnsi="Times"/>
        </w:rPr>
        <w:lastRenderedPageBreak/>
        <w:t xml:space="preserve">Petitioner has in fact experienced the chill. </w:t>
      </w:r>
      <w:r w:rsidR="008E1DC3" w:rsidRPr="008E1DC3">
        <w:rPr>
          <w:rFonts w:ascii="Times" w:hAnsi="Times"/>
        </w:rPr>
        <w:t xml:space="preserve">Petitioner’s fear </w:t>
      </w:r>
      <w:r w:rsidR="00F847EF" w:rsidRPr="008E1DC3">
        <w:rPr>
          <w:rFonts w:ascii="Times" w:hAnsi="Times"/>
        </w:rPr>
        <w:t>is evidence</w:t>
      </w:r>
      <w:r w:rsidR="008E1DC3" w:rsidRPr="008E1DC3">
        <w:rPr>
          <w:rFonts w:ascii="Times" w:hAnsi="Times"/>
        </w:rPr>
        <w:t>d</w:t>
      </w:r>
      <w:r w:rsidR="00F847EF" w:rsidRPr="008E1DC3">
        <w:rPr>
          <w:rFonts w:ascii="Times" w:hAnsi="Times"/>
        </w:rPr>
        <w:t xml:space="preserve"> by the pre-enforcement action brought before </w:t>
      </w:r>
      <w:r w:rsidR="00AC5D95">
        <w:rPr>
          <w:rFonts w:ascii="Times" w:hAnsi="Times"/>
        </w:rPr>
        <w:t>the Court</w:t>
      </w:r>
      <w:r w:rsidR="00F847EF" w:rsidRPr="008E1DC3">
        <w:rPr>
          <w:rFonts w:ascii="Times" w:hAnsi="Times"/>
        </w:rPr>
        <w:t xml:space="preserve">. </w:t>
      </w:r>
      <w:r w:rsidR="008E1DC3" w:rsidRPr="008E1DC3">
        <w:rPr>
          <w:rFonts w:ascii="Times" w:hAnsi="Times"/>
        </w:rPr>
        <w:t xml:space="preserve">Because her view is at this time unpopular, according to mores of modern society, </w:t>
      </w:r>
      <w:r w:rsidR="00F847EF" w:rsidRPr="008E1DC3">
        <w:rPr>
          <w:rFonts w:ascii="Times" w:hAnsi="Times"/>
        </w:rPr>
        <w:t>Petitioner cannot</w:t>
      </w:r>
      <w:r w:rsidR="008E1DC3" w:rsidRPr="008E1DC3">
        <w:rPr>
          <w:rFonts w:ascii="Times" w:hAnsi="Times"/>
        </w:rPr>
        <w:t xml:space="preserve"> freely</w:t>
      </w:r>
      <w:r w:rsidR="00F847EF" w:rsidRPr="008E1DC3">
        <w:rPr>
          <w:rFonts w:ascii="Times" w:hAnsi="Times"/>
        </w:rPr>
        <w:t xml:space="preserve"> enter the “marketplace of ideas” freely</w:t>
      </w:r>
      <w:r w:rsidR="009D52A1" w:rsidRPr="008E1DC3">
        <w:rPr>
          <w:rFonts w:ascii="Times" w:hAnsi="Times"/>
        </w:rPr>
        <w:t xml:space="preserve">. </w:t>
      </w:r>
      <w:r w:rsidR="009D52A1" w:rsidRPr="008E1DC3">
        <w:rPr>
          <w:rFonts w:ascii="Times" w:hAnsi="Times"/>
          <w:i/>
          <w:iCs/>
        </w:rPr>
        <w:t>See</w:t>
      </w:r>
      <w:r w:rsidR="009D52A1" w:rsidRPr="008E1DC3">
        <w:rPr>
          <w:rFonts w:ascii="Times" w:hAnsi="Times"/>
        </w:rPr>
        <w:t xml:space="preserve"> </w:t>
      </w:r>
      <w:r w:rsidR="009D52A1" w:rsidRPr="008E1DC3">
        <w:rPr>
          <w:rFonts w:ascii="Times" w:hAnsi="Times"/>
          <w:i/>
          <w:iCs/>
        </w:rPr>
        <w:t xml:space="preserve">Abrams v. United States, </w:t>
      </w:r>
      <w:r w:rsidR="009D52A1" w:rsidRPr="008E1DC3">
        <w:rPr>
          <w:rFonts w:ascii="Times" w:hAnsi="Times"/>
        </w:rPr>
        <w:t>250 U.S. 616, 630 (1919) (Holmes, J., dissenting).</w:t>
      </w:r>
    </w:p>
    <w:p w14:paraId="1053E8A6" w14:textId="27F65350" w:rsidR="00883D4C" w:rsidRDefault="00AC5D95" w:rsidP="00634FF0">
      <w:pPr>
        <w:spacing w:line="480" w:lineRule="auto"/>
        <w:ind w:firstLine="720"/>
        <w:jc w:val="both"/>
        <w:rPr>
          <w:rFonts w:ascii="Times" w:hAnsi="Times"/>
        </w:rPr>
      </w:pPr>
      <w:r>
        <w:rPr>
          <w:rFonts w:ascii="Times" w:hAnsi="Times"/>
        </w:rPr>
        <w:t>The Court should</w:t>
      </w:r>
      <w:r w:rsidR="00093FA8" w:rsidRPr="008E1DC3">
        <w:rPr>
          <w:rFonts w:ascii="Times" w:hAnsi="Times"/>
        </w:rPr>
        <w:t xml:space="preserve"> </w:t>
      </w:r>
      <w:r w:rsidR="00634FF0" w:rsidRPr="008E1DC3">
        <w:rPr>
          <w:rFonts w:ascii="Times" w:hAnsi="Times"/>
        </w:rPr>
        <w:t>reverse</w:t>
      </w:r>
      <w:r w:rsidR="00093FA8" w:rsidRPr="008E1DC3">
        <w:rPr>
          <w:rFonts w:ascii="Times" w:hAnsi="Times"/>
        </w:rPr>
        <w:t xml:space="preserve"> </w:t>
      </w:r>
      <w:r w:rsidR="00634FF0" w:rsidRPr="008E1DC3">
        <w:rPr>
          <w:rFonts w:ascii="Times" w:hAnsi="Times"/>
        </w:rPr>
        <w:t>Petitioner’s Communication Clause standing claim and affirm Petitioner’s Communication Clause ripeness claim.</w:t>
      </w:r>
      <w:r w:rsidR="00634FF0">
        <w:rPr>
          <w:rFonts w:ascii="Times" w:hAnsi="Times"/>
        </w:rPr>
        <w:t xml:space="preserve"> </w:t>
      </w:r>
      <w:r w:rsidR="00093FA8">
        <w:rPr>
          <w:rFonts w:ascii="Times" w:hAnsi="Times"/>
        </w:rPr>
        <w:t xml:space="preserve"> </w:t>
      </w:r>
    </w:p>
    <w:p w14:paraId="1C0335DA" w14:textId="77777777" w:rsidR="004C2DEF" w:rsidRDefault="004C2DEF" w:rsidP="004C2DEF">
      <w:pPr>
        <w:ind w:firstLine="720"/>
        <w:jc w:val="both"/>
        <w:rPr>
          <w:rFonts w:ascii="Times" w:hAnsi="Times"/>
        </w:rPr>
      </w:pPr>
    </w:p>
    <w:p w14:paraId="72FC56A0" w14:textId="3BCB751F" w:rsidR="00C14D88" w:rsidRDefault="00C14D88" w:rsidP="00C37C46">
      <w:pPr>
        <w:jc w:val="center"/>
        <w:rPr>
          <w:rFonts w:ascii="Times" w:hAnsi="Times"/>
        </w:rPr>
      </w:pPr>
      <w:r>
        <w:rPr>
          <w:rFonts w:ascii="Times" w:hAnsi="Times"/>
        </w:rPr>
        <w:t>I</w:t>
      </w:r>
      <w:r w:rsidR="00003BE3">
        <w:rPr>
          <w:rFonts w:ascii="Times" w:hAnsi="Times"/>
        </w:rPr>
        <w:t>V.</w:t>
      </w:r>
    </w:p>
    <w:p w14:paraId="1E38B279" w14:textId="77777777" w:rsidR="00C37C46" w:rsidRDefault="00C37C46" w:rsidP="00C37C46">
      <w:pPr>
        <w:jc w:val="center"/>
        <w:rPr>
          <w:rFonts w:ascii="Times" w:hAnsi="Times"/>
        </w:rPr>
      </w:pPr>
    </w:p>
    <w:p w14:paraId="74E73463" w14:textId="77777777" w:rsidR="009B2385" w:rsidRDefault="009B2385" w:rsidP="009D52A1">
      <w:pPr>
        <w:jc w:val="both"/>
        <w:rPr>
          <w:rFonts w:ascii="Times" w:hAnsi="Times"/>
        </w:rPr>
      </w:pPr>
    </w:p>
    <w:p w14:paraId="1634E349" w14:textId="23848217" w:rsidR="00D47FCD" w:rsidRDefault="00AC5D95" w:rsidP="009D52A1">
      <w:pPr>
        <w:spacing w:line="480" w:lineRule="auto"/>
        <w:ind w:firstLine="720"/>
        <w:jc w:val="both"/>
        <w:rPr>
          <w:rFonts w:ascii="Times" w:hAnsi="Times"/>
        </w:rPr>
      </w:pPr>
      <w:r>
        <w:rPr>
          <w:rFonts w:ascii="Times" w:hAnsi="Times"/>
        </w:rPr>
        <w:t>The Court must then</w:t>
      </w:r>
      <w:r w:rsidR="0065430D">
        <w:rPr>
          <w:rFonts w:ascii="Times" w:hAnsi="Times"/>
        </w:rPr>
        <w:t xml:space="preserve"> determine whether the statement Petitioner wishes to post on her website is protected speech. This issue is easily resolved. As the Court of Appeals noted, a portion of Petitioners intended statement does not violate the </w:t>
      </w:r>
      <w:r w:rsidR="008C5C40">
        <w:rPr>
          <w:rFonts w:ascii="Times" w:hAnsi="Times"/>
        </w:rPr>
        <w:t>Communication Clause. The specific provision at issue is Petitioner’s statement “[I] will not be able to create websites for same-sex marriages or any other marriage that is not between one man and one woman.” She clearly intended this sentence to communicate her beliefs</w:t>
      </w:r>
      <w:r w:rsidR="008E1DC3">
        <w:rPr>
          <w:rFonts w:ascii="Times" w:hAnsi="Times"/>
        </w:rPr>
        <w:t xml:space="preserve"> </w:t>
      </w:r>
      <w:proofErr w:type="gramStart"/>
      <w:r w:rsidR="008E1DC3">
        <w:rPr>
          <w:rFonts w:ascii="Times" w:hAnsi="Times"/>
        </w:rPr>
        <w:t>on the subject of marriage</w:t>
      </w:r>
      <w:proofErr w:type="gramEnd"/>
      <w:r w:rsidR="008C5C40">
        <w:rPr>
          <w:rFonts w:ascii="Times" w:hAnsi="Times"/>
        </w:rPr>
        <w:t xml:space="preserve"> and any viewer of </w:t>
      </w:r>
      <w:r w:rsidR="008E1DC3">
        <w:rPr>
          <w:rFonts w:ascii="Times" w:hAnsi="Times"/>
        </w:rPr>
        <w:t>Petitioner’s</w:t>
      </w:r>
      <w:r w:rsidR="008C5C40">
        <w:rPr>
          <w:rFonts w:ascii="Times" w:hAnsi="Times"/>
        </w:rPr>
        <w:t xml:space="preserve"> website will understand the message she wishes to convey. Thus, Petitioner has satisfied the speech requirement.</w:t>
      </w:r>
    </w:p>
    <w:p w14:paraId="062E8A0D" w14:textId="0B11211E" w:rsidR="008C5C40" w:rsidRDefault="008C5C40" w:rsidP="008C5C40">
      <w:pPr>
        <w:spacing w:line="480" w:lineRule="auto"/>
        <w:jc w:val="center"/>
        <w:rPr>
          <w:rFonts w:ascii="Times" w:hAnsi="Times"/>
        </w:rPr>
      </w:pPr>
      <w:r>
        <w:rPr>
          <w:rFonts w:ascii="Times" w:hAnsi="Times"/>
        </w:rPr>
        <w:t>V.</w:t>
      </w:r>
    </w:p>
    <w:p w14:paraId="1F9FCB1F" w14:textId="77777777" w:rsidR="004C2DEF" w:rsidRDefault="004C2DEF" w:rsidP="004C2DEF">
      <w:pPr>
        <w:jc w:val="center"/>
        <w:rPr>
          <w:rFonts w:ascii="Times" w:hAnsi="Times"/>
        </w:rPr>
      </w:pPr>
    </w:p>
    <w:p w14:paraId="235EBA4F" w14:textId="633749F5" w:rsidR="00C75292" w:rsidRDefault="00987865" w:rsidP="00987865">
      <w:pPr>
        <w:spacing w:line="480" w:lineRule="auto"/>
        <w:ind w:firstLine="720"/>
        <w:jc w:val="both"/>
        <w:rPr>
          <w:rFonts w:ascii="Times" w:hAnsi="Times"/>
        </w:rPr>
      </w:pPr>
      <w:r w:rsidRPr="00987865">
        <w:rPr>
          <w:rFonts w:ascii="Times" w:hAnsi="Times"/>
        </w:rPr>
        <w:t>I</w:t>
      </w:r>
      <w:r w:rsidR="00883D4C" w:rsidRPr="00987865">
        <w:rPr>
          <w:rFonts w:ascii="Times" w:hAnsi="Times"/>
        </w:rPr>
        <w:t xml:space="preserve"> turn</w:t>
      </w:r>
      <w:r w:rsidR="00CD6190" w:rsidRPr="00987865">
        <w:rPr>
          <w:rFonts w:ascii="Times" w:hAnsi="Times"/>
        </w:rPr>
        <w:t xml:space="preserve"> now</w:t>
      </w:r>
      <w:r w:rsidR="00883D4C" w:rsidRPr="00987865">
        <w:rPr>
          <w:rFonts w:ascii="Times" w:hAnsi="Times"/>
        </w:rPr>
        <w:t xml:space="preserve"> to the </w:t>
      </w:r>
      <w:r w:rsidR="00CD6190" w:rsidRPr="00987865">
        <w:rPr>
          <w:rFonts w:ascii="Times" w:hAnsi="Times"/>
        </w:rPr>
        <w:t>question of whether CADA</w:t>
      </w:r>
      <w:r w:rsidR="00C75292" w:rsidRPr="00987865">
        <w:rPr>
          <w:rFonts w:ascii="Times" w:hAnsi="Times"/>
        </w:rPr>
        <w:t>’s Communication Clause</w:t>
      </w:r>
      <w:r w:rsidR="00CD6190" w:rsidRPr="00987865">
        <w:rPr>
          <w:rFonts w:ascii="Times" w:hAnsi="Times"/>
        </w:rPr>
        <w:t xml:space="preserve"> violates Petitioner’s First Amendment right to freedom of religious expression.</w:t>
      </w:r>
      <w:r w:rsidR="00CD6190">
        <w:rPr>
          <w:rFonts w:ascii="Times" w:hAnsi="Times"/>
        </w:rPr>
        <w:t xml:space="preserve"> </w:t>
      </w:r>
    </w:p>
    <w:p w14:paraId="4A4F6B3E" w14:textId="4EACC53E" w:rsidR="00926C12" w:rsidRDefault="00CD6190" w:rsidP="009D52A1">
      <w:pPr>
        <w:spacing w:line="480" w:lineRule="auto"/>
        <w:ind w:firstLine="720"/>
        <w:jc w:val="both"/>
        <w:rPr>
          <w:rFonts w:ascii="Times" w:hAnsi="Times"/>
        </w:rPr>
      </w:pPr>
      <w:r>
        <w:rPr>
          <w:rFonts w:ascii="Times" w:hAnsi="Times"/>
        </w:rPr>
        <w:t xml:space="preserve">As stated by </w:t>
      </w:r>
      <w:r w:rsidR="00987865">
        <w:rPr>
          <w:rFonts w:ascii="Times" w:hAnsi="Times"/>
        </w:rPr>
        <w:t>the</w:t>
      </w:r>
      <w:r>
        <w:rPr>
          <w:rFonts w:ascii="Times" w:hAnsi="Times"/>
        </w:rPr>
        <w:t xml:space="preserve"> Court in </w:t>
      </w:r>
      <w:r w:rsidRPr="00321DD8">
        <w:rPr>
          <w:rFonts w:ascii="Times" w:hAnsi="Times"/>
          <w:i/>
          <w:iCs/>
        </w:rPr>
        <w:t xml:space="preserve">Church of </w:t>
      </w:r>
      <w:proofErr w:type="spellStart"/>
      <w:r w:rsidRPr="00321DD8">
        <w:rPr>
          <w:rFonts w:ascii="Times" w:hAnsi="Times"/>
          <w:i/>
          <w:iCs/>
        </w:rPr>
        <w:t>Lukumi</w:t>
      </w:r>
      <w:proofErr w:type="spellEnd"/>
      <w:r w:rsidRPr="00321DD8">
        <w:rPr>
          <w:rFonts w:ascii="Times" w:hAnsi="Times"/>
          <w:i/>
          <w:iCs/>
        </w:rPr>
        <w:t xml:space="preserve"> </w:t>
      </w:r>
      <w:proofErr w:type="spellStart"/>
      <w:r w:rsidRPr="00321DD8">
        <w:rPr>
          <w:rFonts w:ascii="Times" w:hAnsi="Times"/>
          <w:i/>
          <w:iCs/>
        </w:rPr>
        <w:t>Babalu</w:t>
      </w:r>
      <w:proofErr w:type="spellEnd"/>
      <w:r w:rsidRPr="00321DD8">
        <w:rPr>
          <w:rFonts w:ascii="Times" w:hAnsi="Times"/>
          <w:i/>
          <w:iCs/>
        </w:rPr>
        <w:t xml:space="preserve"> Aye v. City of Hialeah</w:t>
      </w:r>
      <w:r>
        <w:rPr>
          <w:rFonts w:ascii="Times" w:hAnsi="Times"/>
        </w:rPr>
        <w:t>,</w:t>
      </w:r>
      <w:r w:rsidR="009D52A1">
        <w:rPr>
          <w:rFonts w:ascii="Times" w:hAnsi="Times"/>
        </w:rPr>
        <w:t xml:space="preserve"> </w:t>
      </w:r>
      <w:r w:rsidR="009D52A1" w:rsidRPr="009C1E88">
        <w:rPr>
          <w:rFonts w:ascii="Times" w:hAnsi="Times"/>
        </w:rPr>
        <w:t>508 U.S. 520, 533 (1993)</w:t>
      </w:r>
      <w:r w:rsidR="009D52A1">
        <w:rPr>
          <w:rFonts w:ascii="Times" w:hAnsi="Times"/>
        </w:rPr>
        <w:t>,</w:t>
      </w:r>
      <w:r>
        <w:rPr>
          <w:rFonts w:ascii="Times" w:hAnsi="Times"/>
        </w:rPr>
        <w:t xml:space="preserve"> “a law targeting religious beliefs as such is never permissible.” </w:t>
      </w:r>
      <w:r w:rsidR="00926C12">
        <w:rPr>
          <w:rFonts w:ascii="Times" w:hAnsi="Times"/>
        </w:rPr>
        <w:t xml:space="preserve">“If the object of the law is to infringe upon or restrict practices because of their religious motivation, the law is not neutral.” </w:t>
      </w:r>
      <w:r w:rsidR="00926C12" w:rsidRPr="00926C12">
        <w:rPr>
          <w:rFonts w:ascii="Times" w:hAnsi="Times"/>
          <w:i/>
          <w:iCs/>
        </w:rPr>
        <w:t>Id</w:t>
      </w:r>
      <w:r w:rsidR="00926C12">
        <w:rPr>
          <w:rFonts w:ascii="Times" w:hAnsi="Times"/>
        </w:rPr>
        <w:t>. Thus, w</w:t>
      </w:r>
      <w:r w:rsidR="00C14D88">
        <w:rPr>
          <w:rFonts w:ascii="Times" w:hAnsi="Times"/>
        </w:rPr>
        <w:t xml:space="preserve">e start with the text of CADA. </w:t>
      </w:r>
    </w:p>
    <w:p w14:paraId="12CF1482" w14:textId="33912BA1" w:rsidR="00C14D88" w:rsidRDefault="00C14D88" w:rsidP="009D52A1">
      <w:pPr>
        <w:spacing w:line="480" w:lineRule="auto"/>
        <w:ind w:firstLine="720"/>
        <w:jc w:val="both"/>
        <w:rPr>
          <w:rFonts w:ascii="Times" w:hAnsi="Times"/>
        </w:rPr>
      </w:pPr>
      <w:r>
        <w:rPr>
          <w:rFonts w:ascii="Times" w:hAnsi="Times"/>
        </w:rPr>
        <w:lastRenderedPageBreak/>
        <w:t xml:space="preserve">On its face, the </w:t>
      </w:r>
      <w:r w:rsidR="00926C12">
        <w:rPr>
          <w:rFonts w:ascii="Times" w:hAnsi="Times"/>
        </w:rPr>
        <w:t xml:space="preserve">statute </w:t>
      </w:r>
      <w:r w:rsidR="00665E86">
        <w:rPr>
          <w:rFonts w:ascii="Times" w:hAnsi="Times"/>
        </w:rPr>
        <w:t>does not target any religious sect</w:t>
      </w:r>
      <w:r w:rsidR="00926C12">
        <w:rPr>
          <w:rFonts w:ascii="Times" w:hAnsi="Times"/>
        </w:rPr>
        <w:t xml:space="preserve"> or practice</w:t>
      </w:r>
      <w:r w:rsidR="00665E86">
        <w:rPr>
          <w:rFonts w:ascii="Times" w:hAnsi="Times"/>
        </w:rPr>
        <w:t>. Nor does the statute seem to engage in “covert suppression of particular religious beliefs</w:t>
      </w:r>
      <w:r w:rsidR="00634FF0">
        <w:rPr>
          <w:rFonts w:ascii="Times" w:hAnsi="Times"/>
        </w:rPr>
        <w:t>,</w:t>
      </w:r>
      <w:r w:rsidR="00665E86">
        <w:rPr>
          <w:rFonts w:ascii="Times" w:hAnsi="Times"/>
        </w:rPr>
        <w:t>” as it does not use any of the terms or reference to any of the practices of</w:t>
      </w:r>
      <w:r w:rsidR="008E1DC3">
        <w:rPr>
          <w:rFonts w:ascii="Times" w:hAnsi="Times"/>
        </w:rPr>
        <w:t xml:space="preserve"> the Christian</w:t>
      </w:r>
      <w:r w:rsidR="00665E86">
        <w:rPr>
          <w:rFonts w:ascii="Times" w:hAnsi="Times"/>
        </w:rPr>
        <w:t xml:space="preserve"> </w:t>
      </w:r>
      <w:r w:rsidR="008E1DC3">
        <w:rPr>
          <w:rFonts w:ascii="Times" w:hAnsi="Times"/>
        </w:rPr>
        <w:t>faith</w:t>
      </w:r>
      <w:r w:rsidR="00665E86">
        <w:rPr>
          <w:rFonts w:ascii="Times" w:hAnsi="Times"/>
        </w:rPr>
        <w:t>.</w:t>
      </w:r>
      <w:r w:rsidR="00634FF0">
        <w:rPr>
          <w:rFonts w:ascii="Times" w:hAnsi="Times"/>
        </w:rPr>
        <w:t xml:space="preserve"> </w:t>
      </w:r>
      <w:r w:rsidR="00634FF0" w:rsidRPr="00634FF0">
        <w:rPr>
          <w:rFonts w:ascii="Times" w:hAnsi="Times"/>
          <w:i/>
          <w:iCs/>
        </w:rPr>
        <w:t>See id</w:t>
      </w:r>
      <w:r w:rsidR="00634FF0">
        <w:rPr>
          <w:rFonts w:ascii="Times" w:hAnsi="Times"/>
        </w:rPr>
        <w:t>. at 534.</w:t>
      </w:r>
      <w:r w:rsidR="00665E86">
        <w:rPr>
          <w:rFonts w:ascii="Times" w:hAnsi="Times"/>
        </w:rPr>
        <w:t xml:space="preserve"> </w:t>
      </w:r>
      <w:r w:rsidR="00926C12">
        <w:rPr>
          <w:rFonts w:ascii="Times" w:hAnsi="Times"/>
        </w:rPr>
        <w:t xml:space="preserve">However, inquiry does not cease at facial neutrality. </w:t>
      </w:r>
      <w:r w:rsidR="00926C12" w:rsidRPr="00926C12">
        <w:rPr>
          <w:rFonts w:ascii="Times" w:hAnsi="Times"/>
          <w:i/>
          <w:iCs/>
        </w:rPr>
        <w:t>Id</w:t>
      </w:r>
      <w:r w:rsidR="00926C12">
        <w:rPr>
          <w:rFonts w:ascii="Times" w:hAnsi="Times"/>
        </w:rPr>
        <w:t xml:space="preserve">; </w:t>
      </w:r>
      <w:r w:rsidR="00926C12" w:rsidRPr="00926C12">
        <w:rPr>
          <w:rFonts w:ascii="Times" w:hAnsi="Times"/>
          <w:i/>
          <w:iCs/>
        </w:rPr>
        <w:t>see also</w:t>
      </w:r>
      <w:r w:rsidR="00926C12">
        <w:rPr>
          <w:rFonts w:ascii="Times" w:hAnsi="Times"/>
        </w:rPr>
        <w:t xml:space="preserve"> </w:t>
      </w:r>
      <w:r w:rsidR="00926C12" w:rsidRPr="00926C12">
        <w:rPr>
          <w:rFonts w:ascii="Times" w:hAnsi="Times"/>
          <w:i/>
          <w:iCs/>
        </w:rPr>
        <w:t>Gillette v. United States</w:t>
      </w:r>
      <w:r w:rsidR="00926C12">
        <w:rPr>
          <w:rFonts w:ascii="Times" w:hAnsi="Times"/>
        </w:rPr>
        <w:t xml:space="preserve">, 401 U.S. 437, 452 (1971). </w:t>
      </w:r>
      <w:r w:rsidR="00665E86">
        <w:rPr>
          <w:rFonts w:ascii="Times" w:hAnsi="Times"/>
        </w:rPr>
        <w:t>“</w:t>
      </w:r>
      <w:r w:rsidR="00926C12">
        <w:rPr>
          <w:rFonts w:ascii="Times" w:hAnsi="Times"/>
        </w:rPr>
        <w:t>O</w:t>
      </w:r>
      <w:r w:rsidR="00665E86">
        <w:rPr>
          <w:rFonts w:ascii="Times" w:hAnsi="Times"/>
        </w:rPr>
        <w:t>ur precedents have also recognized</w:t>
      </w:r>
      <w:r w:rsidR="00926C12">
        <w:rPr>
          <w:rFonts w:ascii="Times" w:hAnsi="Times"/>
        </w:rPr>
        <w:t xml:space="preserve"> . . .</w:t>
      </w:r>
      <w:r w:rsidR="00665E86">
        <w:rPr>
          <w:rFonts w:ascii="Times" w:hAnsi="Times"/>
        </w:rPr>
        <w:t xml:space="preserve"> separate and additional category of laws.”</w:t>
      </w:r>
      <w:r w:rsidR="00B84E33">
        <w:rPr>
          <w:rFonts w:ascii="Times" w:hAnsi="Times"/>
        </w:rPr>
        <w:t xml:space="preserve"> </w:t>
      </w:r>
      <w:r w:rsidR="00B84E33" w:rsidRPr="00B84E33">
        <w:rPr>
          <w:rFonts w:ascii="Times" w:hAnsi="Times"/>
          <w:i/>
          <w:iCs/>
        </w:rPr>
        <w:t xml:space="preserve">Reed v. Town of Gilbert, </w:t>
      </w:r>
      <w:r w:rsidR="00B84E33" w:rsidRPr="00634FF0">
        <w:rPr>
          <w:rFonts w:ascii="Times" w:hAnsi="Times"/>
        </w:rPr>
        <w:t>576 U.S. 155, 164 (2015)</w:t>
      </w:r>
      <w:r w:rsidR="00B84E33" w:rsidRPr="00B84E33">
        <w:rPr>
          <w:rFonts w:ascii="Times" w:hAnsi="Times"/>
          <w:i/>
          <w:iCs/>
        </w:rPr>
        <w:t>.</w:t>
      </w:r>
      <w:r w:rsidR="00665E86">
        <w:rPr>
          <w:rFonts w:ascii="Times" w:hAnsi="Times"/>
        </w:rPr>
        <w:t xml:space="preserve"> </w:t>
      </w:r>
      <w:r w:rsidR="002076FC">
        <w:rPr>
          <w:rFonts w:ascii="Times" w:hAnsi="Times"/>
        </w:rPr>
        <w:t>“Facially content-neutral laws will be considered content-based regulations of speech,” if the law “applies to particular speech because of the topic discussed or the idea expressed, or message expressed.”</w:t>
      </w:r>
      <w:r w:rsidR="00B84E33">
        <w:rPr>
          <w:rFonts w:ascii="Times" w:hAnsi="Times"/>
        </w:rPr>
        <w:t xml:space="preserve"> </w:t>
      </w:r>
      <w:r w:rsidR="00B84E33" w:rsidRPr="00B84E33">
        <w:rPr>
          <w:rFonts w:ascii="Times" w:hAnsi="Times"/>
          <w:i/>
          <w:iCs/>
        </w:rPr>
        <w:t xml:space="preserve">Id. </w:t>
      </w:r>
      <w:r w:rsidR="00B84E33" w:rsidRPr="00B84E33">
        <w:rPr>
          <w:rFonts w:ascii="Times" w:hAnsi="Times"/>
        </w:rPr>
        <w:t>at 171</w:t>
      </w:r>
      <w:r w:rsidR="00B84E33" w:rsidRPr="00B84E33">
        <w:rPr>
          <w:rFonts w:ascii="Times" w:hAnsi="Times"/>
          <w:i/>
          <w:iCs/>
        </w:rPr>
        <w:t>.</w:t>
      </w:r>
      <w:r w:rsidR="002076FC">
        <w:rPr>
          <w:rFonts w:ascii="Times" w:hAnsi="Times"/>
        </w:rPr>
        <w:t xml:space="preserve"> </w:t>
      </w:r>
      <w:r w:rsidR="00AC5D95">
        <w:rPr>
          <w:rFonts w:ascii="Times" w:hAnsi="Times"/>
        </w:rPr>
        <w:t>The Court should</w:t>
      </w:r>
      <w:r w:rsidR="002076FC" w:rsidRPr="00040370">
        <w:rPr>
          <w:rFonts w:ascii="Times" w:hAnsi="Times"/>
        </w:rPr>
        <w:t xml:space="preserve"> therefore inquire into whether the government has adopted [this] regulation of speech because of disagreement with the message that it conveys or because the law cannot be </w:t>
      </w:r>
      <w:r w:rsidR="00275022" w:rsidRPr="00040370">
        <w:rPr>
          <w:rFonts w:ascii="Times" w:hAnsi="Times"/>
        </w:rPr>
        <w:t>“</w:t>
      </w:r>
      <w:r w:rsidR="002076FC" w:rsidRPr="00040370">
        <w:rPr>
          <w:rFonts w:ascii="Times" w:hAnsi="Times"/>
        </w:rPr>
        <w:t>justified without reference to the content of the regulated speech</w:t>
      </w:r>
      <w:r w:rsidR="009D52A1" w:rsidRPr="00040370">
        <w:rPr>
          <w:rFonts w:ascii="Times" w:hAnsi="Times"/>
        </w:rPr>
        <w:t>.</w:t>
      </w:r>
      <w:r w:rsidR="002076FC" w:rsidRPr="00040370">
        <w:rPr>
          <w:rFonts w:ascii="Times" w:hAnsi="Times"/>
        </w:rPr>
        <w:t>”</w:t>
      </w:r>
      <w:r w:rsidR="009D52A1" w:rsidRPr="009D52A1">
        <w:rPr>
          <w:rFonts w:ascii="Times" w:hAnsi="Times"/>
        </w:rPr>
        <w:t xml:space="preserve"> </w:t>
      </w:r>
      <w:r w:rsidR="009D52A1" w:rsidRPr="009D52A1">
        <w:rPr>
          <w:rFonts w:ascii="Times" w:hAnsi="Times"/>
          <w:i/>
          <w:iCs/>
        </w:rPr>
        <w:t>Ward v. Rock Against Racism</w:t>
      </w:r>
      <w:r w:rsidR="009D52A1" w:rsidRPr="009C1E88">
        <w:rPr>
          <w:rFonts w:ascii="Times" w:hAnsi="Times"/>
        </w:rPr>
        <w:t>, 491 U.S. 781, 791 (1989)</w:t>
      </w:r>
      <w:r w:rsidR="009D52A1" w:rsidRPr="009D52A1">
        <w:rPr>
          <w:rFonts w:ascii="Times" w:hAnsi="Times"/>
          <w:i/>
          <w:iCs/>
        </w:rPr>
        <w:t xml:space="preserve">; see also Clark v. Community for Creative Non-Violence, </w:t>
      </w:r>
      <w:r w:rsidR="009D52A1" w:rsidRPr="009C1E88">
        <w:rPr>
          <w:rFonts w:ascii="Times" w:hAnsi="Times"/>
        </w:rPr>
        <w:t>468 U.S. 288, 293 (1984)</w:t>
      </w:r>
      <w:r w:rsidR="009D52A1" w:rsidRPr="009D52A1">
        <w:rPr>
          <w:rFonts w:ascii="Times" w:hAnsi="Times"/>
          <w:i/>
          <w:iCs/>
        </w:rPr>
        <w:t>.</w:t>
      </w:r>
    </w:p>
    <w:p w14:paraId="32A27814" w14:textId="262B7492" w:rsidR="00442621" w:rsidRDefault="00D11AAA" w:rsidP="00223CD2">
      <w:pPr>
        <w:spacing w:line="480" w:lineRule="auto"/>
        <w:ind w:firstLine="720"/>
        <w:jc w:val="both"/>
        <w:rPr>
          <w:rFonts w:ascii="Times" w:hAnsi="Times"/>
        </w:rPr>
      </w:pPr>
      <w:r>
        <w:rPr>
          <w:rFonts w:ascii="Times" w:hAnsi="Times"/>
        </w:rPr>
        <w:t xml:space="preserve">Here, CADA clearly prohibits any </w:t>
      </w:r>
      <w:r w:rsidR="00672410">
        <w:rPr>
          <w:rFonts w:ascii="Times" w:hAnsi="Times"/>
        </w:rPr>
        <w:t>publication</w:t>
      </w:r>
      <w:r>
        <w:rPr>
          <w:rFonts w:ascii="Times" w:hAnsi="Times"/>
        </w:rPr>
        <w:t xml:space="preserve"> that “directly or indirectly . . . indicates that the full and equal enjoyment of . . . services . . . will be refused” from a person based on “sexual orientation.”</w:t>
      </w:r>
      <w:r w:rsidR="00634FF0">
        <w:rPr>
          <w:rFonts w:ascii="Times" w:hAnsi="Times"/>
        </w:rPr>
        <w:t xml:space="preserve"> </w:t>
      </w:r>
      <w:r w:rsidR="00634FF0" w:rsidRPr="0079376F">
        <w:rPr>
          <w:rFonts w:ascii="Times" w:hAnsi="Times"/>
        </w:rPr>
        <w:t>Colo. Rev. Stat. §24-</w:t>
      </w:r>
      <w:r w:rsidR="00634FF0">
        <w:rPr>
          <w:rFonts w:ascii="Times" w:hAnsi="Times"/>
        </w:rPr>
        <w:t>3</w:t>
      </w:r>
      <w:r w:rsidR="00634FF0" w:rsidRPr="0079376F">
        <w:rPr>
          <w:rFonts w:ascii="Times" w:hAnsi="Times"/>
        </w:rPr>
        <w:t>4-601(2)</w:t>
      </w:r>
      <w:r w:rsidR="00634FF0">
        <w:rPr>
          <w:rFonts w:ascii="Times" w:hAnsi="Times"/>
        </w:rPr>
        <w:t xml:space="preserve">(a). </w:t>
      </w:r>
      <w:r w:rsidR="000B6F08">
        <w:rPr>
          <w:rFonts w:ascii="Times" w:hAnsi="Times"/>
        </w:rPr>
        <w:t>It takes no more than a cursory glance to understand that the speech CADA seeks to prohibit is discriminatory speech. As stated in Petitioner’s brief, the statement “I make wedding websites” would be permissible under the statute whereas, “I don’t make same-sex wedding websites” would be prohibited.</w:t>
      </w:r>
      <w:r w:rsidR="00040370">
        <w:rPr>
          <w:rFonts w:ascii="Times" w:hAnsi="Times"/>
        </w:rPr>
        <w:t xml:space="preserve"> (Pet. Br. </w:t>
      </w:r>
      <w:r w:rsidR="00810615">
        <w:rPr>
          <w:rFonts w:ascii="Times" w:hAnsi="Times"/>
        </w:rPr>
        <w:t>24).</w:t>
      </w:r>
      <w:r w:rsidR="000B6F08">
        <w:rPr>
          <w:rFonts w:ascii="Times" w:hAnsi="Times"/>
        </w:rPr>
        <w:t xml:space="preserve"> One can only conclude that it is the message or idea of the latter statement that qualifies it for prohibition. </w:t>
      </w:r>
      <w:r w:rsidR="00AC5D95">
        <w:rPr>
          <w:rFonts w:ascii="Times" w:hAnsi="Times"/>
        </w:rPr>
        <w:t>The Court</w:t>
      </w:r>
      <w:r w:rsidR="000B6F08">
        <w:rPr>
          <w:rFonts w:ascii="Times" w:hAnsi="Times"/>
        </w:rPr>
        <w:t xml:space="preserve"> might also look at whether Colorado adopted CADA because of its disagreement with the types of messages that may be conveyed. If Colorado disagreed with the speech of its citizens, it may either issue a statement condoning discriminatory statements brought to its intention or it may attempt to limit discriminatory speech. It seems that they have done the latter. Lastly, the </w:t>
      </w:r>
      <w:r w:rsidR="000B6F08">
        <w:rPr>
          <w:rFonts w:ascii="Times" w:hAnsi="Times"/>
        </w:rPr>
        <w:lastRenderedPageBreak/>
        <w:t xml:space="preserve">Court may inquire as to whether there is any justification for CADA without reference to the speech it seeks to regulate. Here, </w:t>
      </w:r>
      <w:r w:rsidR="00AC5D95">
        <w:rPr>
          <w:rFonts w:ascii="Times" w:hAnsi="Times"/>
        </w:rPr>
        <w:t>there is</w:t>
      </w:r>
      <w:r w:rsidR="000B6F08">
        <w:rPr>
          <w:rFonts w:ascii="Times" w:hAnsi="Times"/>
        </w:rPr>
        <w:t xml:space="preserve"> a loss for any possible justification. </w:t>
      </w:r>
      <w:r w:rsidR="00DE2F98">
        <w:rPr>
          <w:rFonts w:ascii="Times" w:hAnsi="Times"/>
        </w:rPr>
        <w:t>The only goal of the statute is to prevent discriminat</w:t>
      </w:r>
      <w:r w:rsidR="00926C12">
        <w:rPr>
          <w:rFonts w:ascii="Times" w:hAnsi="Times"/>
        </w:rPr>
        <w:t>ory speech</w:t>
      </w:r>
      <w:r w:rsidR="00DE2F98">
        <w:rPr>
          <w:rFonts w:ascii="Times" w:hAnsi="Times"/>
        </w:rPr>
        <w:t xml:space="preserve">. However, said goal merely references the content in the statute. </w:t>
      </w:r>
      <w:r w:rsidR="00442621">
        <w:rPr>
          <w:rFonts w:ascii="Times" w:hAnsi="Times"/>
        </w:rPr>
        <w:t xml:space="preserve">Therefore, </w:t>
      </w:r>
      <w:r w:rsidR="00DE2F98">
        <w:rPr>
          <w:rFonts w:ascii="Times" w:hAnsi="Times"/>
        </w:rPr>
        <w:t xml:space="preserve">although CADA </w:t>
      </w:r>
      <w:r w:rsidR="00442621">
        <w:rPr>
          <w:rFonts w:ascii="Times" w:hAnsi="Times"/>
        </w:rPr>
        <w:t xml:space="preserve">is facially neutral, </w:t>
      </w:r>
      <w:r w:rsidR="00AC5D95">
        <w:rPr>
          <w:rFonts w:ascii="Times" w:hAnsi="Times"/>
        </w:rPr>
        <w:t>the Court</w:t>
      </w:r>
      <w:r w:rsidR="00DE2F98">
        <w:rPr>
          <w:rFonts w:ascii="Times" w:hAnsi="Times"/>
        </w:rPr>
        <w:t xml:space="preserve"> must conclude it</w:t>
      </w:r>
      <w:r w:rsidR="00442621">
        <w:rPr>
          <w:rFonts w:ascii="Times" w:hAnsi="Times"/>
        </w:rPr>
        <w:t xml:space="preserve"> is a content-based regulation on speech.</w:t>
      </w:r>
    </w:p>
    <w:p w14:paraId="12369026" w14:textId="6170E086" w:rsidR="00DE2F98" w:rsidRDefault="00442621" w:rsidP="009D52A1">
      <w:pPr>
        <w:spacing w:line="480" w:lineRule="auto"/>
        <w:ind w:firstLine="720"/>
        <w:jc w:val="both"/>
        <w:rPr>
          <w:rFonts w:ascii="Times" w:hAnsi="Times"/>
        </w:rPr>
      </w:pPr>
      <w:r>
        <w:rPr>
          <w:rFonts w:ascii="Times" w:hAnsi="Times"/>
        </w:rPr>
        <w:t xml:space="preserve">Having concluded that CADA is a </w:t>
      </w:r>
      <w:r w:rsidR="00DE2F98">
        <w:rPr>
          <w:rFonts w:ascii="Times" w:hAnsi="Times"/>
        </w:rPr>
        <w:t>content-based</w:t>
      </w:r>
      <w:r>
        <w:rPr>
          <w:rFonts w:ascii="Times" w:hAnsi="Times"/>
        </w:rPr>
        <w:t xml:space="preserve"> restriction, Colorado must demonstrate that </w:t>
      </w:r>
      <w:r w:rsidR="00DE2F98">
        <w:rPr>
          <w:rFonts w:ascii="Times" w:hAnsi="Times"/>
        </w:rPr>
        <w:t>it</w:t>
      </w:r>
      <w:r>
        <w:rPr>
          <w:rFonts w:ascii="Times" w:hAnsi="Times"/>
        </w:rPr>
        <w:t xml:space="preserve"> has a compelling interest and that it has used the least restrictive means. </w:t>
      </w:r>
      <w:r w:rsidR="00B71D1E" w:rsidRPr="00B71D1E">
        <w:rPr>
          <w:rFonts w:ascii="Times" w:hAnsi="Times"/>
          <w:i/>
          <w:iCs/>
        </w:rPr>
        <w:t>See</w:t>
      </w:r>
      <w:r w:rsidR="00B71D1E">
        <w:rPr>
          <w:rFonts w:ascii="Times" w:hAnsi="Times"/>
        </w:rPr>
        <w:t xml:space="preserve"> </w:t>
      </w:r>
      <w:r w:rsidR="00B71D1E" w:rsidRPr="00321DD8">
        <w:rPr>
          <w:rFonts w:ascii="Times" w:hAnsi="Times"/>
          <w:i/>
          <w:iCs/>
        </w:rPr>
        <w:t xml:space="preserve">Church of </w:t>
      </w:r>
      <w:proofErr w:type="spellStart"/>
      <w:r w:rsidR="00B71D1E" w:rsidRPr="00321DD8">
        <w:rPr>
          <w:rFonts w:ascii="Times" w:hAnsi="Times"/>
          <w:i/>
          <w:iCs/>
        </w:rPr>
        <w:t>Lukumi</w:t>
      </w:r>
      <w:proofErr w:type="spellEnd"/>
      <w:r w:rsidR="00B71D1E" w:rsidRPr="00321DD8">
        <w:rPr>
          <w:rFonts w:ascii="Times" w:hAnsi="Times"/>
          <w:i/>
          <w:iCs/>
        </w:rPr>
        <w:t xml:space="preserve"> </w:t>
      </w:r>
      <w:proofErr w:type="spellStart"/>
      <w:r w:rsidR="00B71D1E" w:rsidRPr="00321DD8">
        <w:rPr>
          <w:rFonts w:ascii="Times" w:hAnsi="Times"/>
          <w:i/>
          <w:iCs/>
        </w:rPr>
        <w:t>Babalu</w:t>
      </w:r>
      <w:proofErr w:type="spellEnd"/>
      <w:r w:rsidR="00B71D1E" w:rsidRPr="00321DD8">
        <w:rPr>
          <w:rFonts w:ascii="Times" w:hAnsi="Times"/>
          <w:i/>
          <w:iCs/>
        </w:rPr>
        <w:t xml:space="preserve"> Aye</w:t>
      </w:r>
      <w:r w:rsidR="00B71D1E">
        <w:rPr>
          <w:rFonts w:ascii="Times" w:hAnsi="Times"/>
        </w:rPr>
        <w:t xml:space="preserve">, </w:t>
      </w:r>
      <w:r w:rsidR="00B71D1E" w:rsidRPr="009C1E88">
        <w:rPr>
          <w:rFonts w:ascii="Times" w:hAnsi="Times"/>
        </w:rPr>
        <w:t xml:space="preserve">508 U.S. </w:t>
      </w:r>
      <w:r w:rsidR="00B71D1E">
        <w:rPr>
          <w:rFonts w:ascii="Times" w:hAnsi="Times"/>
        </w:rPr>
        <w:t xml:space="preserve">at </w:t>
      </w:r>
      <w:r w:rsidR="00B71D1E" w:rsidRPr="009C1E88">
        <w:rPr>
          <w:rFonts w:ascii="Times" w:hAnsi="Times"/>
        </w:rPr>
        <w:t>533</w:t>
      </w:r>
      <w:r w:rsidR="003C04C8">
        <w:rPr>
          <w:rFonts w:ascii="Times" w:hAnsi="Times"/>
        </w:rPr>
        <w:t xml:space="preserve">; </w:t>
      </w:r>
      <w:r w:rsidR="003C04C8" w:rsidRPr="003C04C8">
        <w:rPr>
          <w:rFonts w:ascii="Times" w:hAnsi="Times"/>
          <w:i/>
          <w:iCs/>
        </w:rPr>
        <w:t>Broadrick</w:t>
      </w:r>
      <w:r w:rsidR="003C04C8">
        <w:rPr>
          <w:rFonts w:ascii="Times" w:hAnsi="Times"/>
        </w:rPr>
        <w:t>, 413 U.S. at 611-12</w:t>
      </w:r>
      <w:r w:rsidR="00B71D1E">
        <w:rPr>
          <w:rFonts w:ascii="Times" w:hAnsi="Times"/>
        </w:rPr>
        <w:t xml:space="preserve">. </w:t>
      </w:r>
      <w:r>
        <w:rPr>
          <w:rFonts w:ascii="Times" w:hAnsi="Times"/>
        </w:rPr>
        <w:t>Petitioner maintain</w:t>
      </w:r>
      <w:r w:rsidR="00746810">
        <w:rPr>
          <w:rFonts w:ascii="Times" w:hAnsi="Times"/>
        </w:rPr>
        <w:t>s</w:t>
      </w:r>
      <w:r>
        <w:rPr>
          <w:rFonts w:ascii="Times" w:hAnsi="Times"/>
        </w:rPr>
        <w:t xml:space="preserve"> </w:t>
      </w:r>
      <w:r w:rsidR="00951191">
        <w:rPr>
          <w:rFonts w:ascii="Times" w:hAnsi="Times"/>
        </w:rPr>
        <w:t xml:space="preserve">that Colorado “fails this test ‘at the outset.’” </w:t>
      </w:r>
      <w:r w:rsidR="00040370">
        <w:rPr>
          <w:rFonts w:ascii="Times" w:hAnsi="Times"/>
        </w:rPr>
        <w:t xml:space="preserve">(Pet. Br. 36). </w:t>
      </w:r>
      <w:r w:rsidR="00951191">
        <w:rPr>
          <w:rFonts w:ascii="Times" w:hAnsi="Times"/>
        </w:rPr>
        <w:t>She claims Respondent fail</w:t>
      </w:r>
      <w:r w:rsidR="00B71D1E">
        <w:rPr>
          <w:rFonts w:ascii="Times" w:hAnsi="Times"/>
        </w:rPr>
        <w:t>s</w:t>
      </w:r>
      <w:r w:rsidR="00951191">
        <w:rPr>
          <w:rFonts w:ascii="Times" w:hAnsi="Times"/>
        </w:rPr>
        <w:t xml:space="preserve"> to demonstrate “‘an actual problem’ that requires ‘the curtailment of free speech.’” </w:t>
      </w:r>
      <w:r w:rsidR="00040370" w:rsidRPr="00040370">
        <w:rPr>
          <w:rFonts w:ascii="Times" w:hAnsi="Times"/>
          <w:i/>
          <w:iCs/>
        </w:rPr>
        <w:t>Id</w:t>
      </w:r>
      <w:r w:rsidR="00B71D1E">
        <w:rPr>
          <w:rFonts w:ascii="Times" w:hAnsi="Times"/>
        </w:rPr>
        <w:t xml:space="preserve">. </w:t>
      </w:r>
      <w:r w:rsidR="00987865">
        <w:rPr>
          <w:rFonts w:ascii="Times" w:hAnsi="Times"/>
        </w:rPr>
        <w:t>Colorado does in f</w:t>
      </w:r>
      <w:r w:rsidR="00987865" w:rsidRPr="00987865">
        <w:rPr>
          <w:rFonts w:ascii="Times" w:hAnsi="Times"/>
        </w:rPr>
        <w:t xml:space="preserve">act </w:t>
      </w:r>
      <w:r w:rsidR="00DE2F98" w:rsidRPr="00987865">
        <w:rPr>
          <w:rFonts w:ascii="Times" w:hAnsi="Times"/>
        </w:rPr>
        <w:t>have a compelling interest.</w:t>
      </w:r>
    </w:p>
    <w:p w14:paraId="7E14C1FC" w14:textId="25BC3377" w:rsidR="005025E4" w:rsidRDefault="003C04C8" w:rsidP="00B71D1E">
      <w:pPr>
        <w:spacing w:line="480" w:lineRule="auto"/>
        <w:ind w:firstLine="720"/>
        <w:jc w:val="both"/>
        <w:rPr>
          <w:rFonts w:ascii="Times" w:hAnsi="Times"/>
        </w:rPr>
      </w:pPr>
      <w:r>
        <w:rPr>
          <w:rFonts w:ascii="Times" w:hAnsi="Times"/>
        </w:rPr>
        <w:t>Respondent</w:t>
      </w:r>
      <w:r w:rsidR="005025E4">
        <w:rPr>
          <w:rFonts w:ascii="Times" w:hAnsi="Times"/>
        </w:rPr>
        <w:t xml:space="preserve"> first </w:t>
      </w:r>
      <w:r w:rsidR="00AC6D19">
        <w:rPr>
          <w:rFonts w:ascii="Times" w:hAnsi="Times"/>
        </w:rPr>
        <w:t>asserts</w:t>
      </w:r>
      <w:r w:rsidR="005025E4">
        <w:rPr>
          <w:rFonts w:ascii="Times" w:hAnsi="Times"/>
        </w:rPr>
        <w:t xml:space="preserve"> that it has </w:t>
      </w:r>
      <w:r w:rsidR="00AC6D19">
        <w:rPr>
          <w:rFonts w:ascii="Times" w:hAnsi="Times"/>
        </w:rPr>
        <w:t>a compelling interest to ensure equal access to publicly available goods and services.</w:t>
      </w:r>
      <w:r w:rsidR="00B71D1E">
        <w:rPr>
          <w:rFonts w:ascii="Times" w:hAnsi="Times"/>
        </w:rPr>
        <w:t xml:space="preserve"> (Gov. Br. at 35).</w:t>
      </w:r>
      <w:r w:rsidR="00AC6D19">
        <w:rPr>
          <w:rFonts w:ascii="Times" w:hAnsi="Times"/>
        </w:rPr>
        <w:t xml:space="preserve"> This can be found in the tradition of the common-law. Respondent cite</w:t>
      </w:r>
      <w:r>
        <w:rPr>
          <w:rFonts w:ascii="Times" w:hAnsi="Times"/>
        </w:rPr>
        <w:t>s</w:t>
      </w:r>
      <w:r w:rsidR="00AC6D19">
        <w:rPr>
          <w:rFonts w:ascii="Times" w:hAnsi="Times"/>
        </w:rPr>
        <w:t xml:space="preserve"> </w:t>
      </w:r>
      <w:r w:rsidR="002601F1">
        <w:rPr>
          <w:rFonts w:ascii="Times" w:hAnsi="Times"/>
        </w:rPr>
        <w:t>that “history highlights the strength and the need for State’s regulation” of equal access and</w:t>
      </w:r>
      <w:r w:rsidR="00AC6D19">
        <w:rPr>
          <w:rFonts w:ascii="Times" w:hAnsi="Times"/>
        </w:rPr>
        <w:t xml:space="preserve"> “the common law long recognized that the injuries cause</w:t>
      </w:r>
      <w:r w:rsidR="00DE2F98">
        <w:rPr>
          <w:rFonts w:ascii="Times" w:hAnsi="Times"/>
        </w:rPr>
        <w:t>d</w:t>
      </w:r>
      <w:r w:rsidR="00AC6D19">
        <w:rPr>
          <w:rFonts w:ascii="Times" w:hAnsi="Times"/>
        </w:rPr>
        <w:t xml:space="preserve"> by a denial of access include the dignitary harms that stem from such denial.”</w:t>
      </w:r>
      <w:r w:rsidR="00B71D1E">
        <w:rPr>
          <w:rFonts w:ascii="Times" w:hAnsi="Times"/>
        </w:rPr>
        <w:t xml:space="preserve"> </w:t>
      </w:r>
      <w:r w:rsidR="00B71D1E" w:rsidRPr="00B71D1E">
        <w:rPr>
          <w:rFonts w:ascii="Times" w:hAnsi="Times"/>
          <w:i/>
          <w:iCs/>
        </w:rPr>
        <w:t>Id</w:t>
      </w:r>
      <w:r w:rsidR="00B71D1E">
        <w:rPr>
          <w:rFonts w:ascii="Times" w:hAnsi="Times"/>
        </w:rPr>
        <w:t xml:space="preserve">. at 37. </w:t>
      </w:r>
      <w:r w:rsidR="00AC6D19">
        <w:rPr>
          <w:rFonts w:ascii="Times" w:hAnsi="Times"/>
        </w:rPr>
        <w:t>However,</w:t>
      </w:r>
      <w:r w:rsidR="002601F1">
        <w:rPr>
          <w:rFonts w:ascii="Times" w:hAnsi="Times"/>
        </w:rPr>
        <w:t xml:space="preserve"> the cases that Respondent cite</w:t>
      </w:r>
      <w:r>
        <w:rPr>
          <w:rFonts w:ascii="Times" w:hAnsi="Times"/>
        </w:rPr>
        <w:t>s</w:t>
      </w:r>
      <w:r w:rsidR="002601F1">
        <w:rPr>
          <w:rFonts w:ascii="Times" w:hAnsi="Times"/>
        </w:rPr>
        <w:t xml:space="preserve"> do not provide an adequate foundation for which to assert their interest. When citing </w:t>
      </w:r>
      <w:proofErr w:type="spellStart"/>
      <w:r w:rsidR="002601F1" w:rsidRPr="002466C8">
        <w:rPr>
          <w:rFonts w:ascii="Times" w:hAnsi="Times"/>
          <w:i/>
          <w:iCs/>
        </w:rPr>
        <w:t>Burson</w:t>
      </w:r>
      <w:proofErr w:type="spellEnd"/>
      <w:r w:rsidR="002601F1" w:rsidRPr="002466C8">
        <w:rPr>
          <w:rFonts w:ascii="Times" w:hAnsi="Times"/>
          <w:i/>
          <w:iCs/>
        </w:rPr>
        <w:t xml:space="preserve"> v. Freeman</w:t>
      </w:r>
      <w:r w:rsidR="000F3CE4" w:rsidRPr="000F3CE4">
        <w:rPr>
          <w:rFonts w:ascii="Times" w:hAnsi="Times"/>
        </w:rPr>
        <w:t>,</w:t>
      </w:r>
      <w:r w:rsidR="002601F1">
        <w:rPr>
          <w:rFonts w:ascii="Times" w:hAnsi="Times"/>
        </w:rPr>
        <w:t xml:space="preserve"> </w:t>
      </w:r>
      <w:r w:rsidR="000F3CE4" w:rsidRPr="008C5EA0">
        <w:rPr>
          <w:rFonts w:ascii="Times" w:hAnsi="Times"/>
        </w:rPr>
        <w:t xml:space="preserve">504 U.S. 191, </w:t>
      </w:r>
      <w:r w:rsidR="000F3CE4">
        <w:rPr>
          <w:rFonts w:ascii="Times" w:hAnsi="Times"/>
        </w:rPr>
        <w:t>194-95</w:t>
      </w:r>
      <w:r w:rsidR="000F3CE4" w:rsidRPr="008C5EA0">
        <w:rPr>
          <w:rFonts w:ascii="Times" w:hAnsi="Times"/>
        </w:rPr>
        <w:t xml:space="preserve"> (1992)</w:t>
      </w:r>
      <w:r w:rsidR="000F3CE4">
        <w:rPr>
          <w:rFonts w:ascii="Times" w:hAnsi="Times"/>
        </w:rPr>
        <w:t xml:space="preserve">, </w:t>
      </w:r>
      <w:r w:rsidR="002601F1">
        <w:rPr>
          <w:rFonts w:ascii="Times" w:hAnsi="Times"/>
        </w:rPr>
        <w:t>in support of the proposition that th</w:t>
      </w:r>
      <w:r w:rsidR="00F25031">
        <w:rPr>
          <w:rFonts w:ascii="Times" w:hAnsi="Times"/>
        </w:rPr>
        <w:t>e</w:t>
      </w:r>
      <w:r w:rsidR="002601F1">
        <w:rPr>
          <w:rFonts w:ascii="Times" w:hAnsi="Times"/>
        </w:rPr>
        <w:t xml:space="preserve"> Court has long recognized a state’s interest in securing equal access, Respondent fails to draw an appropriate equivalence. In </w:t>
      </w:r>
      <w:proofErr w:type="spellStart"/>
      <w:r w:rsidR="002601F1" w:rsidRPr="002466C8">
        <w:rPr>
          <w:rFonts w:ascii="Times" w:hAnsi="Times"/>
          <w:i/>
          <w:iCs/>
        </w:rPr>
        <w:t>Burson</w:t>
      </w:r>
      <w:proofErr w:type="spellEnd"/>
      <w:r w:rsidR="002601F1" w:rsidRPr="002466C8">
        <w:rPr>
          <w:rFonts w:ascii="Times" w:hAnsi="Times"/>
          <w:i/>
          <w:iCs/>
        </w:rPr>
        <w:t xml:space="preserve"> </w:t>
      </w:r>
      <w:r w:rsidR="002601F1">
        <w:rPr>
          <w:rFonts w:ascii="Times" w:hAnsi="Times"/>
        </w:rPr>
        <w:t>the law at issue was whether Tennessee could prohibit campaigning within a certain perimeter surrounding the polling place.</w:t>
      </w:r>
      <w:r w:rsidR="000F3CE4">
        <w:rPr>
          <w:rFonts w:ascii="Times" w:hAnsi="Times"/>
        </w:rPr>
        <w:t xml:space="preserve"> </w:t>
      </w:r>
      <w:r w:rsidR="000F3CE4" w:rsidRPr="000F3CE4">
        <w:rPr>
          <w:rFonts w:ascii="Times" w:hAnsi="Times"/>
          <w:i/>
          <w:iCs/>
        </w:rPr>
        <w:t>Id</w:t>
      </w:r>
      <w:r w:rsidR="000F3CE4">
        <w:rPr>
          <w:rFonts w:ascii="Times" w:hAnsi="Times"/>
        </w:rPr>
        <w:t>.</w:t>
      </w:r>
      <w:r w:rsidR="002601F1">
        <w:rPr>
          <w:rFonts w:ascii="Times" w:hAnsi="Times"/>
        </w:rPr>
        <w:t xml:space="preserve"> The issue was not whether the state could prohibit a certain type of speech altogether.</w:t>
      </w:r>
      <w:r w:rsidR="000F3CE4">
        <w:rPr>
          <w:rFonts w:ascii="Times" w:hAnsi="Times"/>
        </w:rPr>
        <w:t xml:space="preserve"> </w:t>
      </w:r>
      <w:r w:rsidR="000F3CE4" w:rsidRPr="000F3CE4">
        <w:rPr>
          <w:rFonts w:ascii="Times" w:hAnsi="Times"/>
          <w:i/>
          <w:iCs/>
        </w:rPr>
        <w:t>See id</w:t>
      </w:r>
      <w:r w:rsidR="000F3CE4">
        <w:rPr>
          <w:rFonts w:ascii="Times" w:hAnsi="Times"/>
        </w:rPr>
        <w:t>.</w:t>
      </w:r>
      <w:r w:rsidR="002601F1">
        <w:rPr>
          <w:rFonts w:ascii="Times" w:hAnsi="Times"/>
        </w:rPr>
        <w:t xml:space="preserve"> Respondents further fail to distinguish </w:t>
      </w:r>
      <w:r w:rsidR="002601F1" w:rsidRPr="002466C8">
        <w:rPr>
          <w:rFonts w:ascii="Times" w:hAnsi="Times"/>
          <w:i/>
          <w:iCs/>
        </w:rPr>
        <w:t>Chicago, St. L. &amp; P. R. Co. v. Holdridge</w:t>
      </w:r>
      <w:r w:rsidR="000F3CE4">
        <w:rPr>
          <w:rFonts w:ascii="Times" w:hAnsi="Times"/>
        </w:rPr>
        <w:t xml:space="preserve">, </w:t>
      </w:r>
      <w:r w:rsidR="000F3CE4" w:rsidRPr="008C5EA0">
        <w:rPr>
          <w:rFonts w:ascii="Times" w:hAnsi="Times"/>
        </w:rPr>
        <w:t xml:space="preserve">20 N.E. 837, </w:t>
      </w:r>
      <w:r w:rsidR="000F3CE4">
        <w:rPr>
          <w:rFonts w:ascii="Times" w:hAnsi="Times"/>
        </w:rPr>
        <w:t>839</w:t>
      </w:r>
      <w:r w:rsidR="000F3CE4" w:rsidRPr="008C5EA0">
        <w:rPr>
          <w:rFonts w:ascii="Times" w:hAnsi="Times"/>
        </w:rPr>
        <w:t xml:space="preserve"> (1889)</w:t>
      </w:r>
      <w:r w:rsidR="000F3CE4">
        <w:rPr>
          <w:rFonts w:ascii="Times" w:hAnsi="Times"/>
        </w:rPr>
        <w:t>,</w:t>
      </w:r>
      <w:r w:rsidR="002601F1">
        <w:rPr>
          <w:rFonts w:ascii="Times" w:hAnsi="Times"/>
        </w:rPr>
        <w:t xml:space="preserve"> when </w:t>
      </w:r>
      <w:r w:rsidR="002601F1">
        <w:rPr>
          <w:rFonts w:ascii="Times" w:hAnsi="Times"/>
        </w:rPr>
        <w:lastRenderedPageBreak/>
        <w:t>asserting th</w:t>
      </w:r>
      <w:r w:rsidR="00F25031">
        <w:rPr>
          <w:rFonts w:ascii="Times" w:hAnsi="Times"/>
        </w:rPr>
        <w:t>e</w:t>
      </w:r>
      <w:r w:rsidR="002601F1">
        <w:rPr>
          <w:rFonts w:ascii="Times" w:hAnsi="Times"/>
        </w:rPr>
        <w:t xml:space="preserve"> Court has long recognized dignitary harm. In that case, the issue was </w:t>
      </w:r>
      <w:r w:rsidR="002466C8">
        <w:rPr>
          <w:rFonts w:ascii="Times" w:hAnsi="Times"/>
        </w:rPr>
        <w:t xml:space="preserve">whether dignitary harm was an appropriate factor of consideration for compensatory damages – not whether </w:t>
      </w:r>
      <w:r>
        <w:rPr>
          <w:rFonts w:ascii="Times" w:hAnsi="Times"/>
        </w:rPr>
        <w:t>dignitary harm</w:t>
      </w:r>
      <w:r w:rsidR="002466C8">
        <w:rPr>
          <w:rFonts w:ascii="Times" w:hAnsi="Times"/>
        </w:rPr>
        <w:t xml:space="preserve"> should be </w:t>
      </w:r>
      <w:r>
        <w:rPr>
          <w:rFonts w:ascii="Times" w:hAnsi="Times"/>
        </w:rPr>
        <w:t>considered</w:t>
      </w:r>
      <w:r w:rsidR="002466C8">
        <w:rPr>
          <w:rFonts w:ascii="Times" w:hAnsi="Times"/>
        </w:rPr>
        <w:t xml:space="preserve"> in determining a state’s compelling interest.</w:t>
      </w:r>
      <w:r w:rsidR="000F3CE4">
        <w:rPr>
          <w:rFonts w:ascii="Times" w:hAnsi="Times"/>
        </w:rPr>
        <w:t xml:space="preserve"> </w:t>
      </w:r>
      <w:r w:rsidR="000F3CE4" w:rsidRPr="000F3CE4">
        <w:rPr>
          <w:rFonts w:ascii="Times" w:hAnsi="Times"/>
          <w:i/>
          <w:iCs/>
        </w:rPr>
        <w:t>Id</w:t>
      </w:r>
      <w:r w:rsidR="000F3CE4">
        <w:rPr>
          <w:rFonts w:ascii="Times" w:hAnsi="Times"/>
        </w:rPr>
        <w:t>.</w:t>
      </w:r>
    </w:p>
    <w:p w14:paraId="0770425A" w14:textId="00678BB3" w:rsidR="00672410" w:rsidRDefault="002466C8" w:rsidP="003C04C8">
      <w:pPr>
        <w:spacing w:line="480" w:lineRule="auto"/>
        <w:ind w:firstLine="720"/>
        <w:jc w:val="both"/>
        <w:rPr>
          <w:rFonts w:ascii="Times" w:hAnsi="Times"/>
        </w:rPr>
      </w:pPr>
      <w:r>
        <w:rPr>
          <w:rFonts w:ascii="Times" w:hAnsi="Times"/>
        </w:rPr>
        <w:t>However, a</w:t>
      </w:r>
      <w:r w:rsidR="00951191">
        <w:rPr>
          <w:rFonts w:ascii="Times" w:hAnsi="Times"/>
        </w:rPr>
        <w:t xml:space="preserve">s every </w:t>
      </w:r>
      <w:r w:rsidR="009466A2">
        <w:rPr>
          <w:rFonts w:ascii="Times" w:hAnsi="Times"/>
        </w:rPr>
        <w:t>citizen should</w:t>
      </w:r>
      <w:r w:rsidR="00951191">
        <w:rPr>
          <w:rFonts w:ascii="Times" w:hAnsi="Times"/>
        </w:rPr>
        <w:t xml:space="preserve"> know, discrimination based on a variety of characteristics has been and continues to be an invidious problem in the United States. </w:t>
      </w:r>
      <w:r w:rsidR="00784B2F">
        <w:rPr>
          <w:rFonts w:ascii="Times" w:hAnsi="Times"/>
        </w:rPr>
        <w:t xml:space="preserve"> Th</w:t>
      </w:r>
      <w:r w:rsidR="00AC5D95">
        <w:rPr>
          <w:rFonts w:ascii="Times" w:hAnsi="Times"/>
        </w:rPr>
        <w:t>e</w:t>
      </w:r>
      <w:r w:rsidR="00784B2F">
        <w:rPr>
          <w:rFonts w:ascii="Times" w:hAnsi="Times"/>
        </w:rPr>
        <w:t xml:space="preserve"> Court has held that states have an interest in securing minorit</w:t>
      </w:r>
      <w:r w:rsidR="003C04C8">
        <w:rPr>
          <w:rFonts w:ascii="Times" w:hAnsi="Times"/>
        </w:rPr>
        <w:t>y</w:t>
      </w:r>
      <w:r w:rsidR="00784B2F">
        <w:rPr>
          <w:rFonts w:ascii="Times" w:hAnsi="Times"/>
        </w:rPr>
        <w:t xml:space="preserve"> rights in the participation of equal citizenship. “We are not far distant from an overtly discriminatory past, and the effects of centuries of law-sanctioned inequality remain painfully evident.” </w:t>
      </w:r>
      <w:r w:rsidR="00784B2F" w:rsidRPr="00784B2F">
        <w:rPr>
          <w:rFonts w:ascii="Times" w:hAnsi="Times"/>
          <w:i/>
          <w:iCs/>
        </w:rPr>
        <w:t>Gratz v. Bollinger</w:t>
      </w:r>
      <w:r w:rsidR="00784B2F">
        <w:rPr>
          <w:rFonts w:ascii="Times" w:hAnsi="Times"/>
        </w:rPr>
        <w:t>, 539 U.S. 244, 298 (2003).</w:t>
      </w:r>
      <w:r w:rsidR="00F5053E">
        <w:rPr>
          <w:rFonts w:ascii="Times" w:hAnsi="Times"/>
        </w:rPr>
        <w:t xml:space="preserve"> “</w:t>
      </w:r>
      <w:r w:rsidR="00784B2F">
        <w:rPr>
          <w:rFonts w:ascii="Times" w:hAnsi="Times"/>
        </w:rPr>
        <w:t>U</w:t>
      </w:r>
      <w:r w:rsidR="00F5053E">
        <w:rPr>
          <w:rFonts w:ascii="Times" w:hAnsi="Times"/>
        </w:rPr>
        <w:t>ntil the mid-20th century, same-sex intimacy long had been condemned as immoral</w:t>
      </w:r>
      <w:r w:rsidR="008C5EA0">
        <w:rPr>
          <w:rFonts w:ascii="Times" w:hAnsi="Times"/>
        </w:rPr>
        <w:t>;</w:t>
      </w:r>
      <w:r w:rsidR="00F5053E">
        <w:rPr>
          <w:rFonts w:ascii="Times" w:hAnsi="Times"/>
        </w:rPr>
        <w:t xml:space="preserve">” </w:t>
      </w:r>
      <w:r w:rsidR="008C5EA0">
        <w:rPr>
          <w:rFonts w:ascii="Times" w:hAnsi="Times"/>
        </w:rPr>
        <w:t>codified by law and entrenched in social mores</w:t>
      </w:r>
      <w:r w:rsidR="00F5053E">
        <w:rPr>
          <w:rFonts w:ascii="Times" w:hAnsi="Times"/>
        </w:rPr>
        <w:t xml:space="preserve">. </w:t>
      </w:r>
      <w:r w:rsidR="00784B2F" w:rsidRPr="00F5053E">
        <w:rPr>
          <w:rFonts w:ascii="Times" w:hAnsi="Times"/>
          <w:i/>
          <w:iCs/>
        </w:rPr>
        <w:t>Obergefell v. Hodges</w:t>
      </w:r>
      <w:r w:rsidR="00784B2F">
        <w:rPr>
          <w:rFonts w:ascii="Times" w:hAnsi="Times"/>
        </w:rPr>
        <w:t xml:space="preserve">, </w:t>
      </w:r>
      <w:r w:rsidR="00784B2F" w:rsidRPr="008C5EA0">
        <w:rPr>
          <w:rFonts w:ascii="Times" w:hAnsi="Times"/>
        </w:rPr>
        <w:t xml:space="preserve">576 U.S. 644, </w:t>
      </w:r>
      <w:r w:rsidR="00784B2F">
        <w:rPr>
          <w:rFonts w:ascii="Times" w:hAnsi="Times"/>
        </w:rPr>
        <w:t>645</w:t>
      </w:r>
      <w:r w:rsidR="00784B2F" w:rsidRPr="008C5EA0">
        <w:rPr>
          <w:rFonts w:ascii="Times" w:hAnsi="Times"/>
        </w:rPr>
        <w:t xml:space="preserve"> (2015)</w:t>
      </w:r>
      <w:r w:rsidR="00784B2F">
        <w:rPr>
          <w:rFonts w:ascii="Times" w:hAnsi="Times"/>
        </w:rPr>
        <w:t xml:space="preserve">. </w:t>
      </w:r>
      <w:r w:rsidR="003C04C8">
        <w:rPr>
          <w:rFonts w:ascii="Times" w:hAnsi="Times"/>
        </w:rPr>
        <w:t xml:space="preserve"> </w:t>
      </w:r>
      <w:r w:rsidR="00F5053E">
        <w:rPr>
          <w:rFonts w:ascii="Times" w:hAnsi="Times"/>
        </w:rPr>
        <w:t>“</w:t>
      </w:r>
      <w:r w:rsidR="00224DCE">
        <w:rPr>
          <w:rFonts w:ascii="Times" w:hAnsi="Times"/>
        </w:rPr>
        <w:t>W</w:t>
      </w:r>
      <w:r w:rsidR="00F5053E">
        <w:rPr>
          <w:rFonts w:ascii="Times" w:hAnsi="Times"/>
        </w:rPr>
        <w:t>hen the state use</w:t>
      </w:r>
      <w:r w:rsidR="003C04C8">
        <w:rPr>
          <w:rFonts w:ascii="Times" w:hAnsi="Times"/>
        </w:rPr>
        <w:t>[s]</w:t>
      </w:r>
      <w:r w:rsidR="00F5053E">
        <w:rPr>
          <w:rFonts w:ascii="Times" w:hAnsi="Times"/>
        </w:rPr>
        <w:t xml:space="preserve"> its . . .  essential authority . . . its role and power . . . in making the decision” to prohibit discriminatory publication, it “enhance</w:t>
      </w:r>
      <w:r w:rsidR="003C04C8">
        <w:rPr>
          <w:rFonts w:ascii="Times" w:hAnsi="Times"/>
        </w:rPr>
        <w:t>[s]</w:t>
      </w:r>
      <w:r w:rsidR="00F5053E">
        <w:rPr>
          <w:rFonts w:ascii="Times" w:hAnsi="Times"/>
        </w:rPr>
        <w:t xml:space="preserve"> the recognition, dignity</w:t>
      </w:r>
      <w:r w:rsidR="00D83C56">
        <w:rPr>
          <w:rFonts w:ascii="Times" w:hAnsi="Times"/>
        </w:rPr>
        <w:t>, and protection of the class in their own community.”</w:t>
      </w:r>
      <w:r w:rsidR="00B84E33">
        <w:rPr>
          <w:rFonts w:ascii="Times" w:hAnsi="Times"/>
        </w:rPr>
        <w:t xml:space="preserve"> </w:t>
      </w:r>
      <w:r w:rsidR="00B84E33" w:rsidRPr="00B84E33">
        <w:rPr>
          <w:rFonts w:ascii="Times" w:hAnsi="Times"/>
          <w:i/>
          <w:iCs/>
        </w:rPr>
        <w:t xml:space="preserve">United States v. Windsor, </w:t>
      </w:r>
      <w:r w:rsidR="00B84E33" w:rsidRPr="000F3CE4">
        <w:rPr>
          <w:rFonts w:ascii="Times" w:hAnsi="Times"/>
        </w:rPr>
        <w:t>570 U.S. 744, 768 (2013).</w:t>
      </w:r>
      <w:r w:rsidR="00CC1EFD">
        <w:rPr>
          <w:rFonts w:ascii="Times" w:hAnsi="Times"/>
        </w:rPr>
        <w:t xml:space="preserve"> </w:t>
      </w:r>
      <w:r w:rsidR="003C04C8">
        <w:rPr>
          <w:rFonts w:ascii="Times" w:hAnsi="Times"/>
        </w:rPr>
        <w:t>Colorado</w:t>
      </w:r>
      <w:r w:rsidR="00CC1EFD">
        <w:rPr>
          <w:rFonts w:ascii="Times" w:hAnsi="Times"/>
        </w:rPr>
        <w:t xml:space="preserve"> </w:t>
      </w:r>
      <w:r w:rsidR="003C04C8">
        <w:rPr>
          <w:rFonts w:ascii="Times" w:hAnsi="Times"/>
        </w:rPr>
        <w:t>“</w:t>
      </w:r>
      <w:r w:rsidR="00CC1EFD">
        <w:rPr>
          <w:rFonts w:ascii="Times" w:hAnsi="Times"/>
        </w:rPr>
        <w:t xml:space="preserve">sought to eliminate [the] inequality” that has persisted throughout time. </w:t>
      </w:r>
      <w:r w:rsidR="00CC1EFD" w:rsidRPr="00CC1EFD">
        <w:rPr>
          <w:rFonts w:ascii="Times" w:hAnsi="Times"/>
          <w:i/>
          <w:iCs/>
        </w:rPr>
        <w:t>Id</w:t>
      </w:r>
      <w:r w:rsidR="00CC1EFD">
        <w:rPr>
          <w:rFonts w:ascii="Times" w:hAnsi="Times"/>
        </w:rPr>
        <w:t>. at 771.</w:t>
      </w:r>
      <w:r w:rsidR="009466A2">
        <w:rPr>
          <w:rFonts w:ascii="Times" w:hAnsi="Times"/>
        </w:rPr>
        <w:t xml:space="preserve"> </w:t>
      </w:r>
      <w:r w:rsidR="00CC1EFD">
        <w:rPr>
          <w:rFonts w:ascii="Times" w:hAnsi="Times"/>
        </w:rPr>
        <w:t>If Petitioner’s argument that Colorado does not have a compelling reason for enacting the Communication Clause</w:t>
      </w:r>
      <w:r w:rsidR="00AC5D95">
        <w:rPr>
          <w:rFonts w:ascii="Times" w:hAnsi="Times"/>
        </w:rPr>
        <w:t xml:space="preserve"> is accepted</w:t>
      </w:r>
      <w:r w:rsidR="00CC1EFD">
        <w:rPr>
          <w:rFonts w:ascii="Times" w:hAnsi="Times"/>
        </w:rPr>
        <w:t xml:space="preserve">, </w:t>
      </w:r>
      <w:r w:rsidR="00AC5D95">
        <w:rPr>
          <w:rFonts w:ascii="Times" w:hAnsi="Times"/>
        </w:rPr>
        <w:t>the Court is</w:t>
      </w:r>
      <w:r w:rsidR="00CC1EFD">
        <w:rPr>
          <w:rFonts w:ascii="Times" w:hAnsi="Times"/>
        </w:rPr>
        <w:t xml:space="preserve"> </w:t>
      </w:r>
      <w:r w:rsidR="003C04C8">
        <w:rPr>
          <w:rFonts w:ascii="Times" w:hAnsi="Times"/>
        </w:rPr>
        <w:t>effectively</w:t>
      </w:r>
      <w:r w:rsidR="00CC1EFD">
        <w:rPr>
          <w:rFonts w:ascii="Times" w:hAnsi="Times"/>
        </w:rPr>
        <w:t xml:space="preserve"> telling same-sex couples</w:t>
      </w:r>
      <w:r w:rsidR="009466A2">
        <w:rPr>
          <w:rFonts w:ascii="Times" w:hAnsi="Times"/>
        </w:rPr>
        <w:t xml:space="preserve"> that they are celebrating a “second-tier marriage.” </w:t>
      </w:r>
      <w:r w:rsidR="009466A2" w:rsidRPr="009466A2">
        <w:rPr>
          <w:rFonts w:ascii="Times" w:hAnsi="Times"/>
          <w:i/>
          <w:iCs/>
        </w:rPr>
        <w:t>Id</w:t>
      </w:r>
      <w:r w:rsidR="009466A2">
        <w:rPr>
          <w:rFonts w:ascii="Times" w:hAnsi="Times"/>
        </w:rPr>
        <w:t xml:space="preserve">. at 772. They must have “their lives burdened . . . in visible and public ways.” </w:t>
      </w:r>
      <w:r w:rsidR="009466A2" w:rsidRPr="009466A2">
        <w:rPr>
          <w:rFonts w:ascii="Times" w:hAnsi="Times"/>
          <w:i/>
          <w:iCs/>
        </w:rPr>
        <w:t>Id</w:t>
      </w:r>
      <w:r w:rsidR="009466A2">
        <w:rPr>
          <w:rFonts w:ascii="Times" w:hAnsi="Times"/>
        </w:rPr>
        <w:t>.</w:t>
      </w:r>
      <w:r w:rsidR="00223CD2">
        <w:rPr>
          <w:rFonts w:ascii="Times" w:hAnsi="Times"/>
        </w:rPr>
        <w:t xml:space="preserve"> </w:t>
      </w:r>
      <w:proofErr w:type="gramStart"/>
      <w:r w:rsidR="00223CD2">
        <w:rPr>
          <w:rFonts w:ascii="Times" w:hAnsi="Times"/>
        </w:rPr>
        <w:t>It is clear that Colorado</w:t>
      </w:r>
      <w:proofErr w:type="gramEnd"/>
      <w:r w:rsidR="00223CD2">
        <w:rPr>
          <w:rFonts w:ascii="Times" w:hAnsi="Times"/>
        </w:rPr>
        <w:t xml:space="preserve"> has a compelling interest.</w:t>
      </w:r>
    </w:p>
    <w:p w14:paraId="58F9AB48" w14:textId="7F49F228" w:rsidR="009072B1" w:rsidRDefault="006C55CE" w:rsidP="009072B1">
      <w:pPr>
        <w:spacing w:line="480" w:lineRule="auto"/>
        <w:ind w:firstLine="720"/>
        <w:jc w:val="both"/>
        <w:rPr>
          <w:rFonts w:ascii="Times" w:hAnsi="Times"/>
        </w:rPr>
      </w:pPr>
      <w:r>
        <w:rPr>
          <w:rFonts w:ascii="Times" w:hAnsi="Times"/>
        </w:rPr>
        <w:t>Petitioner argues that CADA’s Communication</w:t>
      </w:r>
      <w:r w:rsidR="009466A2">
        <w:rPr>
          <w:rFonts w:ascii="Times" w:hAnsi="Times"/>
        </w:rPr>
        <w:t xml:space="preserve"> Clause</w:t>
      </w:r>
      <w:r>
        <w:rPr>
          <w:rFonts w:ascii="Times" w:hAnsi="Times"/>
        </w:rPr>
        <w:t xml:space="preserve"> is </w:t>
      </w:r>
      <w:r w:rsidR="00223CD2">
        <w:rPr>
          <w:rFonts w:ascii="Times" w:hAnsi="Times"/>
        </w:rPr>
        <w:t>not narrowly tailored</w:t>
      </w:r>
      <w:r w:rsidR="009072B1">
        <w:rPr>
          <w:rFonts w:ascii="Times" w:hAnsi="Times"/>
        </w:rPr>
        <w:t>,</w:t>
      </w:r>
      <w:r>
        <w:rPr>
          <w:rFonts w:ascii="Times" w:hAnsi="Times"/>
        </w:rPr>
        <w:t xml:space="preserve"> and </w:t>
      </w:r>
      <w:r w:rsidR="009466A2">
        <w:rPr>
          <w:rFonts w:ascii="Times" w:hAnsi="Times"/>
        </w:rPr>
        <w:t>that Colorado has</w:t>
      </w:r>
      <w:r>
        <w:rPr>
          <w:rFonts w:ascii="Times" w:hAnsi="Times"/>
        </w:rPr>
        <w:t xml:space="preserve"> </w:t>
      </w:r>
      <w:r w:rsidR="00E15A1D">
        <w:rPr>
          <w:rFonts w:ascii="Times" w:hAnsi="Times"/>
        </w:rPr>
        <w:t>other alternative methods by which to reach their goal “without coercing or suppressing speech.”</w:t>
      </w:r>
      <w:r w:rsidR="00FF4158">
        <w:rPr>
          <w:rFonts w:ascii="Times" w:hAnsi="Times"/>
        </w:rPr>
        <w:t xml:space="preserve"> (Pet. Br. at 47). </w:t>
      </w:r>
      <w:r w:rsidR="00FB1282">
        <w:rPr>
          <w:rFonts w:ascii="Times" w:hAnsi="Times"/>
        </w:rPr>
        <w:t>As Petitioner notes in her brief, it is an “</w:t>
      </w:r>
      <w:r w:rsidR="007F77E4">
        <w:rPr>
          <w:rFonts w:ascii="Times" w:hAnsi="Times"/>
        </w:rPr>
        <w:t>‘</w:t>
      </w:r>
      <w:r w:rsidR="00FB1282">
        <w:rPr>
          <w:rFonts w:ascii="Times" w:hAnsi="Times"/>
        </w:rPr>
        <w:t>especially heavy burden on the Government to explain why a less restrictive provision would not be as effective.</w:t>
      </w:r>
      <w:r w:rsidR="007F77E4">
        <w:rPr>
          <w:rFonts w:ascii="Times" w:hAnsi="Times"/>
        </w:rPr>
        <w:t>’</w:t>
      </w:r>
      <w:r w:rsidR="00FB1282">
        <w:rPr>
          <w:rFonts w:ascii="Times" w:hAnsi="Times"/>
        </w:rPr>
        <w:t>”</w:t>
      </w:r>
      <w:r w:rsidR="00E15A1D">
        <w:rPr>
          <w:rFonts w:ascii="Times" w:hAnsi="Times"/>
        </w:rPr>
        <w:t xml:space="preserve"> </w:t>
      </w:r>
      <w:r w:rsidR="00B84E33" w:rsidRPr="00B84E33">
        <w:rPr>
          <w:rFonts w:ascii="Times" w:hAnsi="Times"/>
          <w:i/>
          <w:iCs/>
        </w:rPr>
        <w:t xml:space="preserve">United States v. Playboy Entertainment Group, </w:t>
      </w:r>
      <w:r w:rsidR="00B84E33" w:rsidRPr="009C1E88">
        <w:rPr>
          <w:rFonts w:ascii="Times" w:hAnsi="Times"/>
        </w:rPr>
        <w:t>529 U.S. 803, 817 (2000)</w:t>
      </w:r>
      <w:r w:rsidR="00B84E33" w:rsidRPr="00B84E33">
        <w:rPr>
          <w:rFonts w:ascii="Times" w:hAnsi="Times"/>
          <w:i/>
          <w:iCs/>
        </w:rPr>
        <w:t xml:space="preserve">; Reno v. American Civil </w:t>
      </w:r>
      <w:r w:rsidR="00B84E33" w:rsidRPr="00B84E33">
        <w:rPr>
          <w:rFonts w:ascii="Times" w:hAnsi="Times"/>
          <w:i/>
          <w:iCs/>
        </w:rPr>
        <w:lastRenderedPageBreak/>
        <w:t xml:space="preserve">Liberties Union, </w:t>
      </w:r>
      <w:r w:rsidR="00B84E33" w:rsidRPr="009C1E88">
        <w:rPr>
          <w:rFonts w:ascii="Times" w:hAnsi="Times"/>
        </w:rPr>
        <w:t>521 U.S. 844, 879 (1997)</w:t>
      </w:r>
      <w:r w:rsidR="00B84E33" w:rsidRPr="00B84E33">
        <w:rPr>
          <w:rFonts w:ascii="Times" w:hAnsi="Times"/>
          <w:i/>
          <w:iCs/>
        </w:rPr>
        <w:t>.</w:t>
      </w:r>
      <w:r w:rsidR="00B84E33">
        <w:rPr>
          <w:rFonts w:ascii="Times" w:hAnsi="Times"/>
        </w:rPr>
        <w:t xml:space="preserve"> </w:t>
      </w:r>
      <w:r w:rsidR="00FB1282">
        <w:rPr>
          <w:rFonts w:ascii="Times" w:hAnsi="Times"/>
        </w:rPr>
        <w:t xml:space="preserve">And the “mere desire to avoid the discomfort and unpleasantness that always </w:t>
      </w:r>
      <w:proofErr w:type="spellStart"/>
      <w:r w:rsidR="00FB1282">
        <w:rPr>
          <w:rFonts w:ascii="Times" w:hAnsi="Times"/>
        </w:rPr>
        <w:t>accompan</w:t>
      </w:r>
      <w:proofErr w:type="spellEnd"/>
      <w:r w:rsidR="00FB1282">
        <w:rPr>
          <w:rFonts w:ascii="Times" w:hAnsi="Times"/>
        </w:rPr>
        <w:t>[</w:t>
      </w:r>
      <w:proofErr w:type="spellStart"/>
      <w:r w:rsidR="00FB1282">
        <w:rPr>
          <w:rFonts w:ascii="Times" w:hAnsi="Times"/>
        </w:rPr>
        <w:t>ies</w:t>
      </w:r>
      <w:proofErr w:type="spellEnd"/>
      <w:r w:rsidR="00FB1282">
        <w:rPr>
          <w:rFonts w:ascii="Times" w:hAnsi="Times"/>
        </w:rPr>
        <w:t>] an unpopular viewpoint,” is not sufficient.</w:t>
      </w:r>
      <w:r w:rsidR="009466A2" w:rsidRPr="009466A2">
        <w:rPr>
          <w:rFonts w:ascii="Times" w:hAnsi="Times"/>
        </w:rPr>
        <w:t xml:space="preserve"> </w:t>
      </w:r>
      <w:r w:rsidR="00D419DD" w:rsidRPr="00D419DD">
        <w:rPr>
          <w:rFonts w:ascii="Times" w:hAnsi="Times"/>
          <w:i/>
          <w:iCs/>
        </w:rPr>
        <w:t>Playboy</w:t>
      </w:r>
      <w:r w:rsidR="009466A2" w:rsidRPr="007F77E4">
        <w:rPr>
          <w:rFonts w:ascii="Times" w:hAnsi="Times"/>
        </w:rPr>
        <w:t xml:space="preserve">, 529 U.S. at 817 (citing </w:t>
      </w:r>
      <w:r w:rsidR="009466A2" w:rsidRPr="00D419DD">
        <w:rPr>
          <w:rFonts w:ascii="Times" w:hAnsi="Times"/>
          <w:i/>
          <w:iCs/>
        </w:rPr>
        <w:t>Tinker v. Des Moines Independent Community School District</w:t>
      </w:r>
      <w:r w:rsidR="009466A2" w:rsidRPr="007F77E4">
        <w:rPr>
          <w:rFonts w:ascii="Times" w:hAnsi="Times"/>
        </w:rPr>
        <w:t>, 393 U.S. 503, 509 (1969)).</w:t>
      </w:r>
      <w:r w:rsidR="00FB1282">
        <w:rPr>
          <w:rFonts w:ascii="Times" w:hAnsi="Times"/>
        </w:rPr>
        <w:t xml:space="preserve"> Respondents argue that “any burden on the Company’s expression is therefore ‘</w:t>
      </w:r>
      <w:proofErr w:type="gramStart"/>
      <w:r w:rsidR="00FB1282">
        <w:rPr>
          <w:rFonts w:ascii="Times" w:hAnsi="Times"/>
        </w:rPr>
        <w:t>actually necessary</w:t>
      </w:r>
      <w:proofErr w:type="gramEnd"/>
      <w:r w:rsidR="00FB1282">
        <w:rPr>
          <w:rFonts w:ascii="Times" w:hAnsi="Times"/>
        </w:rPr>
        <w:t>’ to eliminate sales discrimination and curtails no more expression than it must to achieve the goal.”</w:t>
      </w:r>
      <w:r w:rsidR="00FF4158">
        <w:rPr>
          <w:rFonts w:ascii="Times" w:hAnsi="Times"/>
        </w:rPr>
        <w:t xml:space="preserve"> (Gov. Br. at 41).</w:t>
      </w:r>
      <w:r w:rsidR="00FB1282">
        <w:rPr>
          <w:rFonts w:ascii="Times" w:hAnsi="Times"/>
        </w:rPr>
        <w:t xml:space="preserve"> </w:t>
      </w:r>
      <w:r w:rsidR="00987865" w:rsidRPr="00987865">
        <w:rPr>
          <w:rFonts w:ascii="Times" w:hAnsi="Times"/>
        </w:rPr>
        <w:t>I</w:t>
      </w:r>
      <w:r w:rsidR="00FB1282" w:rsidRPr="00987865">
        <w:rPr>
          <w:rFonts w:ascii="Times" w:hAnsi="Times"/>
        </w:rPr>
        <w:t xml:space="preserve"> agree</w:t>
      </w:r>
      <w:r w:rsidR="009072B1" w:rsidRPr="00987865">
        <w:rPr>
          <w:rFonts w:ascii="Times" w:hAnsi="Times"/>
        </w:rPr>
        <w:t xml:space="preserve"> with Respondent’s argument</w:t>
      </w:r>
      <w:r w:rsidR="000D6BBF" w:rsidRPr="00987865">
        <w:rPr>
          <w:rFonts w:ascii="Times" w:hAnsi="Times"/>
        </w:rPr>
        <w:t>.</w:t>
      </w:r>
      <w:r w:rsidR="000D6BBF">
        <w:rPr>
          <w:rFonts w:ascii="Times" w:hAnsi="Times"/>
        </w:rPr>
        <w:t xml:space="preserve"> </w:t>
      </w:r>
    </w:p>
    <w:p w14:paraId="1E206908" w14:textId="104A9960" w:rsidR="00123E01" w:rsidRDefault="009072B1" w:rsidP="00223CD2">
      <w:pPr>
        <w:spacing w:line="480" w:lineRule="auto"/>
        <w:ind w:firstLine="720"/>
        <w:jc w:val="both"/>
        <w:rPr>
          <w:rFonts w:ascii="Times" w:hAnsi="Times"/>
        </w:rPr>
      </w:pPr>
      <w:r>
        <w:rPr>
          <w:rFonts w:ascii="Times" w:hAnsi="Times"/>
        </w:rPr>
        <w:t>Respondent suggests</w:t>
      </w:r>
      <w:r w:rsidR="00223CD2">
        <w:rPr>
          <w:rFonts w:ascii="Times" w:hAnsi="Times"/>
        </w:rPr>
        <w:t xml:space="preserve"> one alternative is for Colorado to allow speakers who serve the public to</w:t>
      </w:r>
      <w:r w:rsidR="002F5A93">
        <w:rPr>
          <w:rFonts w:ascii="Times" w:hAnsi="Times"/>
        </w:rPr>
        <w:t xml:space="preserve"> “decline specific projects based on their message.”</w:t>
      </w:r>
      <w:r w:rsidR="00FF4158">
        <w:rPr>
          <w:rFonts w:ascii="Times" w:hAnsi="Times"/>
        </w:rPr>
        <w:t xml:space="preserve"> (Pet. Br. 47).</w:t>
      </w:r>
      <w:r w:rsidR="002F5A93">
        <w:rPr>
          <w:rFonts w:ascii="Times" w:hAnsi="Times"/>
        </w:rPr>
        <w:t xml:space="preserve"> As Respondent</w:t>
      </w:r>
      <w:r w:rsidR="00223CD2">
        <w:rPr>
          <w:rFonts w:ascii="Times" w:hAnsi="Times"/>
        </w:rPr>
        <w:t>s</w:t>
      </w:r>
      <w:r w:rsidR="002F5A93">
        <w:rPr>
          <w:rFonts w:ascii="Times" w:hAnsi="Times"/>
        </w:rPr>
        <w:t xml:space="preserve"> assert</w:t>
      </w:r>
      <w:r w:rsidR="00223CD2">
        <w:rPr>
          <w:rFonts w:ascii="Times" w:hAnsi="Times"/>
        </w:rPr>
        <w:t>s</w:t>
      </w:r>
      <w:r w:rsidR="002F5A93">
        <w:rPr>
          <w:rFonts w:ascii="Times" w:hAnsi="Times"/>
        </w:rPr>
        <w:t xml:space="preserve">, and </w:t>
      </w:r>
      <w:r w:rsidR="007D1A96">
        <w:rPr>
          <w:rFonts w:ascii="Times" w:hAnsi="Times"/>
        </w:rPr>
        <w:t xml:space="preserve">the Court should </w:t>
      </w:r>
      <w:r w:rsidR="002F5A93">
        <w:rPr>
          <w:rFonts w:ascii="Times" w:hAnsi="Times"/>
        </w:rPr>
        <w:t xml:space="preserve">agree, this </w:t>
      </w:r>
      <w:r w:rsidR="00A47F78">
        <w:rPr>
          <w:rFonts w:ascii="Times" w:hAnsi="Times"/>
        </w:rPr>
        <w:t>alternative is</w:t>
      </w:r>
      <w:r w:rsidR="002F5A93">
        <w:rPr>
          <w:rFonts w:ascii="Times" w:hAnsi="Times"/>
        </w:rPr>
        <w:t xml:space="preserve"> inadequate. Not only would this alternative invite subjective </w:t>
      </w:r>
      <w:r w:rsidR="00123E01">
        <w:rPr>
          <w:rFonts w:ascii="Times" w:hAnsi="Times"/>
        </w:rPr>
        <w:t xml:space="preserve">preference </w:t>
      </w:r>
      <w:r w:rsidR="00040370">
        <w:rPr>
          <w:rFonts w:ascii="Times" w:hAnsi="Times"/>
        </w:rPr>
        <w:t xml:space="preserve">by shop owners </w:t>
      </w:r>
      <w:r w:rsidR="00123E01">
        <w:rPr>
          <w:rFonts w:ascii="Times" w:hAnsi="Times"/>
        </w:rPr>
        <w:t>but</w:t>
      </w:r>
      <w:r w:rsidR="002F5A93">
        <w:rPr>
          <w:rFonts w:ascii="Times" w:hAnsi="Times"/>
        </w:rPr>
        <w:t xml:space="preserve"> would </w:t>
      </w:r>
      <w:r w:rsidR="007D1A96">
        <w:rPr>
          <w:rFonts w:ascii="Times" w:hAnsi="Times"/>
        </w:rPr>
        <w:t xml:space="preserve">also fail to </w:t>
      </w:r>
      <w:r w:rsidR="002F5A93">
        <w:rPr>
          <w:rFonts w:ascii="Times" w:hAnsi="Times"/>
        </w:rPr>
        <w:t xml:space="preserve">make </w:t>
      </w:r>
      <w:r w:rsidR="007D1A96">
        <w:rPr>
          <w:rFonts w:ascii="Times" w:hAnsi="Times"/>
        </w:rPr>
        <w:t>a</w:t>
      </w:r>
      <w:r w:rsidR="002F5A93">
        <w:rPr>
          <w:rFonts w:ascii="Times" w:hAnsi="Times"/>
        </w:rPr>
        <w:t xml:space="preserve"> principled distinction between holding one’s religious belief </w:t>
      </w:r>
      <w:r w:rsidR="00223CD2">
        <w:rPr>
          <w:rFonts w:ascii="Times" w:hAnsi="Times"/>
        </w:rPr>
        <w:t xml:space="preserve">as </w:t>
      </w:r>
      <w:r w:rsidR="002F5A93">
        <w:rPr>
          <w:rFonts w:ascii="Times" w:hAnsi="Times"/>
        </w:rPr>
        <w:t xml:space="preserve">not permitting services for same-sex couples and denying services based on other protected classifications. </w:t>
      </w:r>
      <w:r w:rsidR="00123E01">
        <w:rPr>
          <w:rFonts w:ascii="Times" w:hAnsi="Times"/>
        </w:rPr>
        <w:t>It was not so long ago in our country’s history that “ministers promoted the idea that Africans were the descendants of Ham . . . and thus their enslavement was fitting” and slaveholders cited that</w:t>
      </w:r>
      <w:r w:rsidR="00FE5AF7">
        <w:rPr>
          <w:rFonts w:ascii="Times" w:hAnsi="Times"/>
        </w:rPr>
        <w:t xml:space="preserve"> </w:t>
      </w:r>
      <w:r w:rsidR="00123E01">
        <w:rPr>
          <w:rFonts w:ascii="Times" w:hAnsi="Times"/>
        </w:rPr>
        <w:t xml:space="preserve">Israelites owned slaves. </w:t>
      </w:r>
      <w:r w:rsidR="00D47FCD" w:rsidRPr="00A47F78">
        <w:rPr>
          <w:rFonts w:ascii="Times" w:hAnsi="Times"/>
        </w:rPr>
        <w:t xml:space="preserve">Julie Z. Weil, </w:t>
      </w:r>
      <w:r w:rsidR="00D47FCD" w:rsidRPr="00A47F78">
        <w:rPr>
          <w:rFonts w:ascii="Times" w:hAnsi="Times"/>
          <w:i/>
          <w:iCs/>
        </w:rPr>
        <w:t>The Bible was used to Justify Slavery. Then African Made It Their Path to Freedom</w:t>
      </w:r>
      <w:r w:rsidR="00D47FCD" w:rsidRPr="00A47F78">
        <w:rPr>
          <w:rFonts w:ascii="Times" w:hAnsi="Times"/>
        </w:rPr>
        <w:t>, W</w:t>
      </w:r>
      <w:r w:rsidR="00D47FCD" w:rsidRPr="00A47F78">
        <w:rPr>
          <w:rFonts w:ascii="Times" w:hAnsi="Times" w:cs="Times New Roman (Body CS)"/>
          <w:smallCaps/>
        </w:rPr>
        <w:t>ash</w:t>
      </w:r>
      <w:r w:rsidR="00D47FCD" w:rsidRPr="00A47F78">
        <w:rPr>
          <w:rFonts w:ascii="Times" w:hAnsi="Times"/>
        </w:rPr>
        <w:t>. P</w:t>
      </w:r>
      <w:r w:rsidR="00D47FCD" w:rsidRPr="00A47F78">
        <w:rPr>
          <w:rFonts w:ascii="Times" w:hAnsi="Times" w:cs="Times New Roman (Body CS)"/>
          <w:smallCaps/>
        </w:rPr>
        <w:t>ost</w:t>
      </w:r>
      <w:r w:rsidR="00D47FCD" w:rsidRPr="00A47F78">
        <w:rPr>
          <w:rFonts w:ascii="Times" w:hAnsi="Times"/>
        </w:rPr>
        <w:t>.</w:t>
      </w:r>
      <w:r w:rsidR="00D47FCD">
        <w:rPr>
          <w:rFonts w:ascii="Times" w:hAnsi="Times"/>
        </w:rPr>
        <w:t xml:space="preserve"> (2019). </w:t>
      </w:r>
      <w:r w:rsidR="00123E01">
        <w:rPr>
          <w:rFonts w:ascii="Times" w:hAnsi="Times"/>
        </w:rPr>
        <w:t>Without a principled distinction offered, the alternative restriction</w:t>
      </w:r>
      <w:r w:rsidR="007D1A96">
        <w:rPr>
          <w:rFonts w:ascii="Times" w:hAnsi="Times"/>
        </w:rPr>
        <w:t xml:space="preserve"> is</w:t>
      </w:r>
      <w:r w:rsidR="00123E01">
        <w:rPr>
          <w:rFonts w:ascii="Times" w:hAnsi="Times"/>
        </w:rPr>
        <w:t xml:space="preserve"> untenable.</w:t>
      </w:r>
    </w:p>
    <w:p w14:paraId="740B61C8" w14:textId="30547443" w:rsidR="003E3F7C" w:rsidRDefault="009E0B6A" w:rsidP="009D52A1">
      <w:pPr>
        <w:spacing w:line="480" w:lineRule="auto"/>
        <w:ind w:firstLine="720"/>
        <w:jc w:val="both"/>
        <w:rPr>
          <w:rFonts w:ascii="Times" w:hAnsi="Times"/>
        </w:rPr>
      </w:pPr>
      <w:r>
        <w:rPr>
          <w:rFonts w:ascii="Times" w:hAnsi="Times"/>
        </w:rPr>
        <w:t>It is also suggested that CADA could be construed to only incorporate “physical spaces” or “essential goods.”</w:t>
      </w:r>
      <w:r w:rsidR="00FF4158">
        <w:rPr>
          <w:rFonts w:ascii="Times" w:hAnsi="Times"/>
        </w:rPr>
        <w:t xml:space="preserve"> (Pet. Br. at 47-48).</w:t>
      </w:r>
      <w:r>
        <w:rPr>
          <w:rFonts w:ascii="Times" w:hAnsi="Times"/>
        </w:rPr>
        <w:t xml:space="preserve"> While the </w:t>
      </w:r>
      <w:r w:rsidR="00F25031">
        <w:rPr>
          <w:rFonts w:ascii="Times" w:hAnsi="Times"/>
        </w:rPr>
        <w:t>Court should</w:t>
      </w:r>
      <w:r>
        <w:rPr>
          <w:rFonts w:ascii="Times" w:hAnsi="Times"/>
        </w:rPr>
        <w:t xml:space="preserve"> reject this alternative </w:t>
      </w:r>
      <w:r w:rsidR="008209CE">
        <w:rPr>
          <w:rFonts w:ascii="Times" w:hAnsi="Times"/>
        </w:rPr>
        <w:t>outright, warranting no discussion or time</w:t>
      </w:r>
      <w:r>
        <w:rPr>
          <w:rFonts w:ascii="Times" w:hAnsi="Times"/>
        </w:rPr>
        <w:t xml:space="preserve">, </w:t>
      </w:r>
      <w:r w:rsidR="00F25031">
        <w:rPr>
          <w:rFonts w:ascii="Times" w:hAnsi="Times"/>
        </w:rPr>
        <w:t>I will</w:t>
      </w:r>
      <w:r>
        <w:rPr>
          <w:rFonts w:ascii="Times" w:hAnsi="Times"/>
        </w:rPr>
        <w:t xml:space="preserve"> consider such alternative. If CADA was limited </w:t>
      </w:r>
      <w:r w:rsidR="008209CE">
        <w:rPr>
          <w:rFonts w:ascii="Times" w:hAnsi="Times"/>
        </w:rPr>
        <w:t xml:space="preserve">only </w:t>
      </w:r>
      <w:r>
        <w:rPr>
          <w:rFonts w:ascii="Times" w:hAnsi="Times"/>
        </w:rPr>
        <w:t xml:space="preserve">to physical spaces, then we would rocket modern retail back in time. While “brick-and mortar stores were once the sole channel for purchasing goods,” that is no longer the case. With </w:t>
      </w:r>
      <w:r w:rsidR="00746810">
        <w:rPr>
          <w:rFonts w:ascii="Times" w:hAnsi="Times"/>
        </w:rPr>
        <w:t>advances in</w:t>
      </w:r>
      <w:r>
        <w:rPr>
          <w:rFonts w:ascii="Times" w:hAnsi="Times"/>
        </w:rPr>
        <w:t xml:space="preserve"> technology a significant portion of our retail consumption </w:t>
      </w:r>
      <w:r w:rsidR="008209CE">
        <w:rPr>
          <w:rFonts w:ascii="Times" w:hAnsi="Times"/>
        </w:rPr>
        <w:t xml:space="preserve">is done through the internet. Furthermore, </w:t>
      </w:r>
      <w:r w:rsidR="00F25031">
        <w:rPr>
          <w:rFonts w:ascii="Times" w:hAnsi="Times"/>
        </w:rPr>
        <w:t>I</w:t>
      </w:r>
      <w:r w:rsidR="008209CE">
        <w:rPr>
          <w:rFonts w:ascii="Times" w:hAnsi="Times"/>
        </w:rPr>
        <w:t xml:space="preserve"> was unaware that discrimination was limited solely to essential goods. As our </w:t>
      </w:r>
      <w:r w:rsidR="008209CE">
        <w:rPr>
          <w:rFonts w:ascii="Times" w:hAnsi="Times"/>
        </w:rPr>
        <w:lastRenderedPageBreak/>
        <w:t xml:space="preserve">history demonstrates discrimination of all types and forms is invidious and has not been limited to food and certain household essentials. </w:t>
      </w:r>
    </w:p>
    <w:p w14:paraId="0D296FDF" w14:textId="4816A5CF" w:rsidR="00123E01" w:rsidRDefault="003E3F7C" w:rsidP="009D52A1">
      <w:pPr>
        <w:spacing w:line="480" w:lineRule="auto"/>
        <w:ind w:firstLine="720"/>
        <w:jc w:val="both"/>
        <w:rPr>
          <w:rFonts w:ascii="Times" w:hAnsi="Times"/>
        </w:rPr>
      </w:pPr>
      <w:r>
        <w:rPr>
          <w:rFonts w:ascii="Times" w:hAnsi="Times"/>
        </w:rPr>
        <w:t xml:space="preserve">Lastly, </w:t>
      </w:r>
      <w:r w:rsidR="00F25031">
        <w:rPr>
          <w:rFonts w:ascii="Times" w:hAnsi="Times"/>
        </w:rPr>
        <w:t>I briefly</w:t>
      </w:r>
      <w:r>
        <w:rPr>
          <w:rFonts w:ascii="Times" w:hAnsi="Times"/>
        </w:rPr>
        <w:t xml:space="preserve"> address the market alternative</w:t>
      </w:r>
      <w:r w:rsidR="00040370">
        <w:rPr>
          <w:rFonts w:ascii="Times" w:hAnsi="Times"/>
        </w:rPr>
        <w:t>s</w:t>
      </w:r>
      <w:r w:rsidR="00FE5AF7">
        <w:rPr>
          <w:rFonts w:ascii="Times" w:hAnsi="Times"/>
        </w:rPr>
        <w:t xml:space="preserve"> argument by Petitioner</w:t>
      </w:r>
      <w:r>
        <w:rPr>
          <w:rFonts w:ascii="Times" w:hAnsi="Times"/>
        </w:rPr>
        <w:t>. It is argued that the market will provide same-sex couples other similar services.</w:t>
      </w:r>
      <w:r w:rsidR="00FE5AF7">
        <w:rPr>
          <w:rFonts w:ascii="Times" w:hAnsi="Times"/>
        </w:rPr>
        <w:t xml:space="preserve"> (Gov. Br. at 42).</w:t>
      </w:r>
      <w:r>
        <w:rPr>
          <w:rFonts w:ascii="Times" w:hAnsi="Times"/>
        </w:rPr>
        <w:t xml:space="preserve"> This </w:t>
      </w:r>
      <w:r w:rsidR="00FE5AF7">
        <w:rPr>
          <w:rFonts w:ascii="Times" w:hAnsi="Times"/>
        </w:rPr>
        <w:t xml:space="preserve">argument </w:t>
      </w:r>
      <w:r>
        <w:rPr>
          <w:rFonts w:ascii="Times" w:hAnsi="Times"/>
        </w:rPr>
        <w:t>entirely misses the point. For Petitioner to succeed, she must demonstrate that Colorado’s means of reaching the end is overly broad – not that there are other ample channels by which same-sex couples can obtain services. However, indulging this line of reasoning, th</w:t>
      </w:r>
      <w:r w:rsidR="00F25031">
        <w:rPr>
          <w:rFonts w:ascii="Times" w:hAnsi="Times"/>
        </w:rPr>
        <w:t>e</w:t>
      </w:r>
      <w:r>
        <w:rPr>
          <w:rFonts w:ascii="Times" w:hAnsi="Times"/>
        </w:rPr>
        <w:t xml:space="preserve"> Court </w:t>
      </w:r>
      <w:r w:rsidR="00F25031">
        <w:rPr>
          <w:rFonts w:ascii="Times" w:hAnsi="Times"/>
        </w:rPr>
        <w:t xml:space="preserve">should </w:t>
      </w:r>
      <w:r>
        <w:rPr>
          <w:rFonts w:ascii="Times" w:hAnsi="Times"/>
        </w:rPr>
        <w:t xml:space="preserve">find such an argument </w:t>
      </w:r>
      <w:proofErr w:type="gramStart"/>
      <w:r>
        <w:rPr>
          <w:rFonts w:ascii="Times" w:hAnsi="Times"/>
        </w:rPr>
        <w:t>actually undercuts</w:t>
      </w:r>
      <w:proofErr w:type="gramEnd"/>
      <w:r>
        <w:rPr>
          <w:rFonts w:ascii="Times" w:hAnsi="Times"/>
        </w:rPr>
        <w:t xml:space="preserve"> Petitioner’s argument. If there were ample channels same-sex couples could acquire wedding-websites, then Colorado’s statute is not overly broad because may pose unduly burdensome regulations on all such providers. </w:t>
      </w:r>
    </w:p>
    <w:p w14:paraId="02CAA7BC" w14:textId="7EBD12C1" w:rsidR="0080561E" w:rsidRDefault="0080561E" w:rsidP="00040370">
      <w:pPr>
        <w:rPr>
          <w:rFonts w:ascii="Times" w:hAnsi="Times"/>
        </w:rPr>
      </w:pPr>
    </w:p>
    <w:p w14:paraId="1342555B" w14:textId="77777777" w:rsidR="00307A25" w:rsidRDefault="00307A25" w:rsidP="0080561E">
      <w:pPr>
        <w:jc w:val="center"/>
        <w:rPr>
          <w:rFonts w:ascii="Times" w:hAnsi="Times"/>
        </w:rPr>
      </w:pPr>
    </w:p>
    <w:p w14:paraId="612C5ED8" w14:textId="165A26AA" w:rsidR="00307A25" w:rsidRPr="00F62C5C" w:rsidRDefault="00F62C5C" w:rsidP="00F62C5C">
      <w:pPr>
        <w:jc w:val="center"/>
        <w:rPr>
          <w:rFonts w:ascii="Times" w:hAnsi="Times"/>
        </w:rPr>
      </w:pPr>
      <w:r w:rsidRPr="00F62C5C">
        <w:rPr>
          <w:rFonts w:ascii="Times" w:hAnsi="Times"/>
        </w:rPr>
        <w:t>*</w:t>
      </w:r>
      <w:r>
        <w:rPr>
          <w:rFonts w:ascii="Times" w:hAnsi="Times"/>
        </w:rPr>
        <w:t xml:space="preserve"> </w:t>
      </w:r>
      <w:r>
        <w:rPr>
          <w:rFonts w:ascii="Times" w:hAnsi="Times"/>
        </w:rPr>
        <w:tab/>
        <w:t>*</w:t>
      </w:r>
      <w:r>
        <w:rPr>
          <w:rFonts w:ascii="Times" w:hAnsi="Times"/>
        </w:rPr>
        <w:tab/>
        <w:t>*</w:t>
      </w:r>
    </w:p>
    <w:p w14:paraId="68ACC72C" w14:textId="40E68030" w:rsidR="00223CD2" w:rsidRDefault="00223CD2" w:rsidP="009D52A1">
      <w:pPr>
        <w:jc w:val="both"/>
        <w:rPr>
          <w:rFonts w:ascii="Times" w:hAnsi="Times"/>
        </w:rPr>
      </w:pPr>
    </w:p>
    <w:p w14:paraId="3783857C" w14:textId="424D3CDE" w:rsidR="00040370" w:rsidRDefault="00810615" w:rsidP="00040370">
      <w:pPr>
        <w:jc w:val="center"/>
        <w:rPr>
          <w:rFonts w:ascii="Times" w:hAnsi="Times"/>
        </w:rPr>
      </w:pPr>
      <w:r>
        <w:rPr>
          <w:rFonts w:ascii="Times" w:hAnsi="Times"/>
        </w:rPr>
        <w:t>For the foregoing considerations</w:t>
      </w:r>
      <w:r w:rsidR="00987865">
        <w:rPr>
          <w:rFonts w:ascii="Times" w:hAnsi="Times"/>
        </w:rPr>
        <w:t xml:space="preserve"> the Court should </w:t>
      </w:r>
      <w:r>
        <w:rPr>
          <w:rFonts w:ascii="Times" w:hAnsi="Times"/>
        </w:rPr>
        <w:t>reverse in part and affirm in part.</w:t>
      </w:r>
    </w:p>
    <w:p w14:paraId="4B23F4F6" w14:textId="77777777" w:rsidR="00810615" w:rsidRDefault="00810615" w:rsidP="00040370">
      <w:pPr>
        <w:jc w:val="center"/>
        <w:rPr>
          <w:rFonts w:ascii="Times" w:hAnsi="Times"/>
        </w:rPr>
      </w:pPr>
    </w:p>
    <w:p w14:paraId="741CECE1" w14:textId="77777777" w:rsidR="00810615" w:rsidRDefault="00810615" w:rsidP="00040370">
      <w:pPr>
        <w:jc w:val="center"/>
        <w:rPr>
          <w:rFonts w:ascii="Times" w:hAnsi="Times"/>
        </w:rPr>
      </w:pPr>
    </w:p>
    <w:p w14:paraId="021CA38C" w14:textId="2824F7E7" w:rsidR="00810615" w:rsidRPr="00810615" w:rsidRDefault="00810615" w:rsidP="00810615">
      <w:pPr>
        <w:jc w:val="right"/>
        <w:rPr>
          <w:rFonts w:ascii="Times" w:hAnsi="Times"/>
          <w:i/>
          <w:iCs/>
        </w:rPr>
      </w:pPr>
    </w:p>
    <w:sectPr w:rsidR="00810615" w:rsidRPr="00810615">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7E2749" w14:textId="77777777" w:rsidR="002C3C26" w:rsidRDefault="002C3C26" w:rsidP="0035445E">
      <w:r>
        <w:separator/>
      </w:r>
    </w:p>
  </w:endnote>
  <w:endnote w:type="continuationSeparator" w:id="0">
    <w:p w14:paraId="3450538F" w14:textId="77777777" w:rsidR="002C3C26" w:rsidRDefault="002C3C26" w:rsidP="00354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panose1 w:val="00000500000000020000"/>
    <w:charset w:val="00"/>
    <w:family w:val="auto"/>
    <w:pitch w:val="variable"/>
    <w:sig w:usb0="E00002FF" w:usb1="5000205A" w:usb2="00000000" w:usb3="00000000" w:csb0="0000019F" w:csb1="00000000"/>
  </w:font>
  <w:font w:name="Times New Roman (Body CS)">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49513527"/>
      <w:docPartObj>
        <w:docPartGallery w:val="Page Numbers (Bottom of Page)"/>
        <w:docPartUnique/>
      </w:docPartObj>
    </w:sdtPr>
    <w:sdtContent>
      <w:p w14:paraId="29887599" w14:textId="69B5A53A" w:rsidR="00267991" w:rsidRDefault="00267991" w:rsidP="00492DC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13F03FA" w14:textId="77777777" w:rsidR="00267991" w:rsidRDefault="002679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w:hAnsi="Times"/>
      </w:rPr>
      <w:id w:val="620500185"/>
      <w:docPartObj>
        <w:docPartGallery w:val="Page Numbers (Bottom of Page)"/>
        <w:docPartUnique/>
      </w:docPartObj>
    </w:sdtPr>
    <w:sdtContent>
      <w:p w14:paraId="2C2F241E" w14:textId="3489DD9F" w:rsidR="00267991" w:rsidRPr="00464F92" w:rsidRDefault="00267991" w:rsidP="00492DC9">
        <w:pPr>
          <w:pStyle w:val="Footer"/>
          <w:framePr w:wrap="none" w:vAnchor="text" w:hAnchor="margin" w:xAlign="center" w:y="1"/>
          <w:rPr>
            <w:rStyle w:val="PageNumber"/>
            <w:rFonts w:ascii="Times" w:hAnsi="Times"/>
          </w:rPr>
        </w:pPr>
        <w:r w:rsidRPr="00464F92">
          <w:rPr>
            <w:rStyle w:val="PageNumber"/>
            <w:rFonts w:ascii="Times" w:hAnsi="Times"/>
          </w:rPr>
          <w:fldChar w:fldCharType="begin"/>
        </w:r>
        <w:r w:rsidRPr="00464F92">
          <w:rPr>
            <w:rStyle w:val="PageNumber"/>
            <w:rFonts w:ascii="Times" w:hAnsi="Times"/>
          </w:rPr>
          <w:instrText xml:space="preserve"> PAGE </w:instrText>
        </w:r>
        <w:r w:rsidRPr="00464F92">
          <w:rPr>
            <w:rStyle w:val="PageNumber"/>
            <w:rFonts w:ascii="Times" w:hAnsi="Times"/>
          </w:rPr>
          <w:fldChar w:fldCharType="separate"/>
        </w:r>
        <w:r w:rsidRPr="00464F92">
          <w:rPr>
            <w:rStyle w:val="PageNumber"/>
            <w:rFonts w:ascii="Times" w:hAnsi="Times"/>
            <w:noProof/>
          </w:rPr>
          <w:t>1</w:t>
        </w:r>
        <w:r w:rsidRPr="00464F92">
          <w:rPr>
            <w:rStyle w:val="PageNumber"/>
            <w:rFonts w:ascii="Times" w:hAnsi="Times"/>
          </w:rPr>
          <w:fldChar w:fldCharType="end"/>
        </w:r>
      </w:p>
    </w:sdtContent>
  </w:sdt>
  <w:p w14:paraId="0591246D" w14:textId="77777777" w:rsidR="00267991" w:rsidRDefault="002679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F0C2C" w14:textId="77777777" w:rsidR="002C3C26" w:rsidRDefault="002C3C26" w:rsidP="0035445E">
      <w:r>
        <w:separator/>
      </w:r>
    </w:p>
  </w:footnote>
  <w:footnote w:type="continuationSeparator" w:id="0">
    <w:p w14:paraId="0257B473" w14:textId="77777777" w:rsidR="002C3C26" w:rsidRDefault="002C3C26" w:rsidP="003544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808F4"/>
    <w:multiLevelType w:val="hybridMultilevel"/>
    <w:tmpl w:val="93F6CB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9F1E28"/>
    <w:multiLevelType w:val="hybridMultilevel"/>
    <w:tmpl w:val="4B6832BA"/>
    <w:lvl w:ilvl="0" w:tplc="A85EC0B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EC3F2E"/>
    <w:multiLevelType w:val="hybridMultilevel"/>
    <w:tmpl w:val="E5C40DC6"/>
    <w:lvl w:ilvl="0" w:tplc="FF32BE16">
      <w:start w:val="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8F0C2B"/>
    <w:multiLevelType w:val="hybridMultilevel"/>
    <w:tmpl w:val="4A3A0F04"/>
    <w:lvl w:ilvl="0" w:tplc="932EF94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FF0207"/>
    <w:multiLevelType w:val="hybridMultilevel"/>
    <w:tmpl w:val="DC986578"/>
    <w:lvl w:ilvl="0" w:tplc="736C924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BE4971"/>
    <w:multiLevelType w:val="hybridMultilevel"/>
    <w:tmpl w:val="63AACA9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5C513A5"/>
    <w:multiLevelType w:val="hybridMultilevel"/>
    <w:tmpl w:val="32DC88BE"/>
    <w:lvl w:ilvl="0" w:tplc="BBAC28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627407"/>
    <w:multiLevelType w:val="hybridMultilevel"/>
    <w:tmpl w:val="9AAC548C"/>
    <w:lvl w:ilvl="0" w:tplc="590EEE4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E62F59"/>
    <w:multiLevelType w:val="hybridMultilevel"/>
    <w:tmpl w:val="54B4DF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606705">
    <w:abstractNumId w:val="7"/>
  </w:num>
  <w:num w:numId="2" w16cid:durableId="714934376">
    <w:abstractNumId w:val="4"/>
  </w:num>
  <w:num w:numId="3" w16cid:durableId="1544636345">
    <w:abstractNumId w:val="3"/>
  </w:num>
  <w:num w:numId="4" w16cid:durableId="88888443">
    <w:abstractNumId w:val="8"/>
  </w:num>
  <w:num w:numId="5" w16cid:durableId="1699970908">
    <w:abstractNumId w:val="0"/>
  </w:num>
  <w:num w:numId="6" w16cid:durableId="855072412">
    <w:abstractNumId w:val="6"/>
  </w:num>
  <w:num w:numId="7" w16cid:durableId="1001852166">
    <w:abstractNumId w:val="1"/>
  </w:num>
  <w:num w:numId="8" w16cid:durableId="1803956287">
    <w:abstractNumId w:val="5"/>
  </w:num>
  <w:num w:numId="9" w16cid:durableId="4376070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D31"/>
    <w:rsid w:val="00003BE3"/>
    <w:rsid w:val="00023817"/>
    <w:rsid w:val="00024222"/>
    <w:rsid w:val="00040370"/>
    <w:rsid w:val="00046D1C"/>
    <w:rsid w:val="000508F9"/>
    <w:rsid w:val="00060687"/>
    <w:rsid w:val="00066B96"/>
    <w:rsid w:val="00084D88"/>
    <w:rsid w:val="00093FA8"/>
    <w:rsid w:val="000A2FBE"/>
    <w:rsid w:val="000A5C3E"/>
    <w:rsid w:val="000B6F08"/>
    <w:rsid w:val="000D6BBF"/>
    <w:rsid w:val="000E35EE"/>
    <w:rsid w:val="000F3CE4"/>
    <w:rsid w:val="0011338B"/>
    <w:rsid w:val="00123E01"/>
    <w:rsid w:val="001559CB"/>
    <w:rsid w:val="00156425"/>
    <w:rsid w:val="00172C8F"/>
    <w:rsid w:val="0017606E"/>
    <w:rsid w:val="00177149"/>
    <w:rsid w:val="00202B3E"/>
    <w:rsid w:val="00202E7A"/>
    <w:rsid w:val="002076FC"/>
    <w:rsid w:val="00223CD2"/>
    <w:rsid w:val="00224DCE"/>
    <w:rsid w:val="00232D58"/>
    <w:rsid w:val="00236549"/>
    <w:rsid w:val="00236B02"/>
    <w:rsid w:val="00241F44"/>
    <w:rsid w:val="002466C8"/>
    <w:rsid w:val="0024740A"/>
    <w:rsid w:val="002601F1"/>
    <w:rsid w:val="002678E2"/>
    <w:rsid w:val="00267991"/>
    <w:rsid w:val="002714BF"/>
    <w:rsid w:val="00275022"/>
    <w:rsid w:val="002751F1"/>
    <w:rsid w:val="002775FB"/>
    <w:rsid w:val="002914E6"/>
    <w:rsid w:val="00293863"/>
    <w:rsid w:val="00295B8D"/>
    <w:rsid w:val="002C3C26"/>
    <w:rsid w:val="002D1973"/>
    <w:rsid w:val="002F5A93"/>
    <w:rsid w:val="00307A25"/>
    <w:rsid w:val="0032032B"/>
    <w:rsid w:val="00321DD8"/>
    <w:rsid w:val="00353672"/>
    <w:rsid w:val="0035445E"/>
    <w:rsid w:val="00371E92"/>
    <w:rsid w:val="003C04C8"/>
    <w:rsid w:val="003D3F65"/>
    <w:rsid w:val="003E0DC7"/>
    <w:rsid w:val="003E3F7C"/>
    <w:rsid w:val="00404641"/>
    <w:rsid w:val="00442621"/>
    <w:rsid w:val="00452BB2"/>
    <w:rsid w:val="00464F92"/>
    <w:rsid w:val="00486AEC"/>
    <w:rsid w:val="004B0BCD"/>
    <w:rsid w:val="004B720C"/>
    <w:rsid w:val="004C0C52"/>
    <w:rsid w:val="004C2DEF"/>
    <w:rsid w:val="004E039C"/>
    <w:rsid w:val="005025E4"/>
    <w:rsid w:val="005152C7"/>
    <w:rsid w:val="00540B6C"/>
    <w:rsid w:val="00543AF6"/>
    <w:rsid w:val="00574778"/>
    <w:rsid w:val="00575C2D"/>
    <w:rsid w:val="00577BFA"/>
    <w:rsid w:val="00581D74"/>
    <w:rsid w:val="00596F0C"/>
    <w:rsid w:val="005A731D"/>
    <w:rsid w:val="00627ABE"/>
    <w:rsid w:val="00634FF0"/>
    <w:rsid w:val="0065430D"/>
    <w:rsid w:val="006607EC"/>
    <w:rsid w:val="00665E86"/>
    <w:rsid w:val="00672410"/>
    <w:rsid w:val="006731B2"/>
    <w:rsid w:val="00683BF4"/>
    <w:rsid w:val="006B15EE"/>
    <w:rsid w:val="006B2141"/>
    <w:rsid w:val="006C37EC"/>
    <w:rsid w:val="006C55CE"/>
    <w:rsid w:val="006E1597"/>
    <w:rsid w:val="006E7EF5"/>
    <w:rsid w:val="00710505"/>
    <w:rsid w:val="00727173"/>
    <w:rsid w:val="007348BF"/>
    <w:rsid w:val="00746810"/>
    <w:rsid w:val="00777A44"/>
    <w:rsid w:val="0078194A"/>
    <w:rsid w:val="00784B2F"/>
    <w:rsid w:val="0079376F"/>
    <w:rsid w:val="007C201B"/>
    <w:rsid w:val="007D1A96"/>
    <w:rsid w:val="007E2EE3"/>
    <w:rsid w:val="007F25DA"/>
    <w:rsid w:val="007F343E"/>
    <w:rsid w:val="007F77E4"/>
    <w:rsid w:val="0080561E"/>
    <w:rsid w:val="008059D8"/>
    <w:rsid w:val="00810615"/>
    <w:rsid w:val="008209CE"/>
    <w:rsid w:val="00870994"/>
    <w:rsid w:val="008756F2"/>
    <w:rsid w:val="0088060E"/>
    <w:rsid w:val="00880DEA"/>
    <w:rsid w:val="00883D4C"/>
    <w:rsid w:val="008A2005"/>
    <w:rsid w:val="008C0B84"/>
    <w:rsid w:val="008C5C40"/>
    <w:rsid w:val="008C5EA0"/>
    <w:rsid w:val="008E1DC3"/>
    <w:rsid w:val="008E3348"/>
    <w:rsid w:val="009072B1"/>
    <w:rsid w:val="00926C12"/>
    <w:rsid w:val="00943E57"/>
    <w:rsid w:val="009466A2"/>
    <w:rsid w:val="00951191"/>
    <w:rsid w:val="0098106F"/>
    <w:rsid w:val="00987865"/>
    <w:rsid w:val="00997C70"/>
    <w:rsid w:val="009B2385"/>
    <w:rsid w:val="009B4171"/>
    <w:rsid w:val="009C1E88"/>
    <w:rsid w:val="009C52E3"/>
    <w:rsid w:val="009D52A1"/>
    <w:rsid w:val="009E0B6A"/>
    <w:rsid w:val="009E23DC"/>
    <w:rsid w:val="009F6979"/>
    <w:rsid w:val="00A02AF7"/>
    <w:rsid w:val="00A24B15"/>
    <w:rsid w:val="00A47F78"/>
    <w:rsid w:val="00A633BF"/>
    <w:rsid w:val="00A64403"/>
    <w:rsid w:val="00A734B2"/>
    <w:rsid w:val="00A74460"/>
    <w:rsid w:val="00A863F8"/>
    <w:rsid w:val="00A908E4"/>
    <w:rsid w:val="00A944A2"/>
    <w:rsid w:val="00AC5D95"/>
    <w:rsid w:val="00AC6D19"/>
    <w:rsid w:val="00AF32A6"/>
    <w:rsid w:val="00B14D79"/>
    <w:rsid w:val="00B20D31"/>
    <w:rsid w:val="00B338AD"/>
    <w:rsid w:val="00B45151"/>
    <w:rsid w:val="00B50828"/>
    <w:rsid w:val="00B64DFA"/>
    <w:rsid w:val="00B71D1E"/>
    <w:rsid w:val="00B82871"/>
    <w:rsid w:val="00B84E33"/>
    <w:rsid w:val="00BA45DF"/>
    <w:rsid w:val="00BA6395"/>
    <w:rsid w:val="00BD0685"/>
    <w:rsid w:val="00BD0DE6"/>
    <w:rsid w:val="00BD4A76"/>
    <w:rsid w:val="00C01E8B"/>
    <w:rsid w:val="00C05B30"/>
    <w:rsid w:val="00C07140"/>
    <w:rsid w:val="00C12F45"/>
    <w:rsid w:val="00C14D88"/>
    <w:rsid w:val="00C25227"/>
    <w:rsid w:val="00C37C46"/>
    <w:rsid w:val="00C44973"/>
    <w:rsid w:val="00C75292"/>
    <w:rsid w:val="00CC1EFD"/>
    <w:rsid w:val="00CD6190"/>
    <w:rsid w:val="00CF04E5"/>
    <w:rsid w:val="00CF2154"/>
    <w:rsid w:val="00CF72F3"/>
    <w:rsid w:val="00D04BB3"/>
    <w:rsid w:val="00D11AAA"/>
    <w:rsid w:val="00D419DD"/>
    <w:rsid w:val="00D473E9"/>
    <w:rsid w:val="00D47FCD"/>
    <w:rsid w:val="00D83C56"/>
    <w:rsid w:val="00DB1B19"/>
    <w:rsid w:val="00DC7EDE"/>
    <w:rsid w:val="00DD57B6"/>
    <w:rsid w:val="00DE2F98"/>
    <w:rsid w:val="00DE6BE6"/>
    <w:rsid w:val="00E006E2"/>
    <w:rsid w:val="00E03C01"/>
    <w:rsid w:val="00E11083"/>
    <w:rsid w:val="00E15A1D"/>
    <w:rsid w:val="00E17398"/>
    <w:rsid w:val="00E25543"/>
    <w:rsid w:val="00E335FA"/>
    <w:rsid w:val="00E35B3E"/>
    <w:rsid w:val="00E37EF3"/>
    <w:rsid w:val="00E60796"/>
    <w:rsid w:val="00EB6B09"/>
    <w:rsid w:val="00EC5998"/>
    <w:rsid w:val="00ED2723"/>
    <w:rsid w:val="00F04AB3"/>
    <w:rsid w:val="00F115DC"/>
    <w:rsid w:val="00F16BA7"/>
    <w:rsid w:val="00F25031"/>
    <w:rsid w:val="00F4215F"/>
    <w:rsid w:val="00F449AD"/>
    <w:rsid w:val="00F5053E"/>
    <w:rsid w:val="00F57879"/>
    <w:rsid w:val="00F62C5C"/>
    <w:rsid w:val="00F847EF"/>
    <w:rsid w:val="00FB1282"/>
    <w:rsid w:val="00FC2ADF"/>
    <w:rsid w:val="00FD72E3"/>
    <w:rsid w:val="00FE5AF7"/>
    <w:rsid w:val="00FF41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E928FC"/>
  <w15:chartTrackingRefBased/>
  <w15:docId w15:val="{2BA90BD1-4E9F-FD44-B8E1-BA2183DFB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5445E"/>
    <w:rPr>
      <w:sz w:val="20"/>
      <w:szCs w:val="20"/>
    </w:rPr>
  </w:style>
  <w:style w:type="character" w:customStyle="1" w:styleId="FootnoteTextChar">
    <w:name w:val="Footnote Text Char"/>
    <w:basedOn w:val="DefaultParagraphFont"/>
    <w:link w:val="FootnoteText"/>
    <w:uiPriority w:val="99"/>
    <w:semiHidden/>
    <w:rsid w:val="0035445E"/>
    <w:rPr>
      <w:sz w:val="20"/>
      <w:szCs w:val="20"/>
    </w:rPr>
  </w:style>
  <w:style w:type="character" w:styleId="FootnoteReference">
    <w:name w:val="footnote reference"/>
    <w:basedOn w:val="DefaultParagraphFont"/>
    <w:uiPriority w:val="99"/>
    <w:semiHidden/>
    <w:unhideWhenUsed/>
    <w:rsid w:val="0035445E"/>
    <w:rPr>
      <w:vertAlign w:val="superscript"/>
    </w:rPr>
  </w:style>
  <w:style w:type="paragraph" w:styleId="ListParagraph">
    <w:name w:val="List Paragraph"/>
    <w:basedOn w:val="Normal"/>
    <w:uiPriority w:val="34"/>
    <w:qFormat/>
    <w:rsid w:val="00710505"/>
    <w:pPr>
      <w:ind w:left="720"/>
      <w:contextualSpacing/>
    </w:pPr>
  </w:style>
  <w:style w:type="paragraph" w:styleId="Header">
    <w:name w:val="header"/>
    <w:basedOn w:val="Normal"/>
    <w:link w:val="HeaderChar"/>
    <w:uiPriority w:val="99"/>
    <w:unhideWhenUsed/>
    <w:rsid w:val="009B2385"/>
    <w:pPr>
      <w:tabs>
        <w:tab w:val="center" w:pos="4680"/>
        <w:tab w:val="right" w:pos="9360"/>
      </w:tabs>
    </w:pPr>
  </w:style>
  <w:style w:type="character" w:customStyle="1" w:styleId="HeaderChar">
    <w:name w:val="Header Char"/>
    <w:basedOn w:val="DefaultParagraphFont"/>
    <w:link w:val="Header"/>
    <w:uiPriority w:val="99"/>
    <w:rsid w:val="009B2385"/>
  </w:style>
  <w:style w:type="paragraph" w:styleId="Footer">
    <w:name w:val="footer"/>
    <w:basedOn w:val="Normal"/>
    <w:link w:val="FooterChar"/>
    <w:uiPriority w:val="99"/>
    <w:unhideWhenUsed/>
    <w:rsid w:val="009B2385"/>
    <w:pPr>
      <w:tabs>
        <w:tab w:val="center" w:pos="4680"/>
        <w:tab w:val="right" w:pos="9360"/>
      </w:tabs>
    </w:pPr>
  </w:style>
  <w:style w:type="character" w:customStyle="1" w:styleId="FooterChar">
    <w:name w:val="Footer Char"/>
    <w:basedOn w:val="DefaultParagraphFont"/>
    <w:link w:val="Footer"/>
    <w:uiPriority w:val="99"/>
    <w:rsid w:val="009B2385"/>
  </w:style>
  <w:style w:type="character" w:styleId="PageNumber">
    <w:name w:val="page number"/>
    <w:basedOn w:val="DefaultParagraphFont"/>
    <w:uiPriority w:val="99"/>
    <w:semiHidden/>
    <w:unhideWhenUsed/>
    <w:rsid w:val="00267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F670B9-48B7-8343-9C25-0C9E25C8B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1429</TotalTime>
  <Pages>16</Pages>
  <Words>4365</Words>
  <Characters>24882</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30</cp:revision>
  <dcterms:created xsi:type="dcterms:W3CDTF">2023-03-17T14:06:00Z</dcterms:created>
  <dcterms:modified xsi:type="dcterms:W3CDTF">2023-06-27T19:50:00Z</dcterms:modified>
</cp:coreProperties>
</file>